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2D277" w14:textId="07BA41A4" w:rsidR="00C14CD1" w:rsidRPr="00C14CD1" w:rsidRDefault="00C14CD1" w:rsidP="008C3725">
      <w:pPr>
        <w:jc w:val="right"/>
        <w:rPr>
          <w:b/>
        </w:rPr>
      </w:pPr>
      <w:r>
        <w:rPr>
          <w:b/>
        </w:rPr>
        <w:t>[2020] UT44</w:t>
      </w:r>
    </w:p>
    <w:p w14:paraId="30E1425F" w14:textId="0316421C" w:rsidR="0073763A" w:rsidRDefault="00944351" w:rsidP="008C3725">
      <w:pPr>
        <w:jc w:val="right"/>
        <w:rPr>
          <w:rFonts w:ascii="Arial" w:hAnsi="Arial" w:cs="Arial"/>
        </w:rPr>
      </w:pPr>
      <w:r>
        <w:fldChar w:fldCharType="begin"/>
      </w:r>
      <w:r>
        <w:instrText>MERGEFIELD ApplicationReference</w:instrText>
      </w:r>
      <w:r>
        <w:fldChar w:fldCharType="separate"/>
      </w:r>
      <w:r w:rsidR="00D356C5">
        <w:rPr>
          <w:rFonts w:ascii="Arial" w:hAnsi="Arial" w:cs="Arial"/>
          <w:noProof/>
        </w:rPr>
        <w:t>UTS/AP/19</w:t>
      </w:r>
      <w:r w:rsidR="00451FC2">
        <w:rPr>
          <w:rFonts w:ascii="Arial" w:hAnsi="Arial" w:cs="Arial"/>
          <w:noProof/>
        </w:rPr>
        <w:t>/00</w:t>
      </w:r>
      <w:r w:rsidR="00D356C5">
        <w:rPr>
          <w:rFonts w:ascii="Arial" w:hAnsi="Arial" w:cs="Arial"/>
          <w:noProof/>
        </w:rPr>
        <w:t>11</w:t>
      </w:r>
      <w:r>
        <w:rPr>
          <w:rFonts w:ascii="Arial" w:hAnsi="Arial" w:cs="Arial"/>
          <w:noProof/>
        </w:rPr>
        <w:fldChar w:fldCharType="end"/>
      </w:r>
    </w:p>
    <w:p w14:paraId="4CBC11C6" w14:textId="77777777" w:rsidR="0073763A" w:rsidRDefault="0073763A" w:rsidP="008C3725">
      <w:pPr>
        <w:jc w:val="center"/>
        <w:rPr>
          <w:rFonts w:ascii="Arial" w:hAnsi="Arial" w:cs="Arial"/>
        </w:rPr>
      </w:pPr>
    </w:p>
    <w:p w14:paraId="6602BBE8" w14:textId="20CE5D5A" w:rsidR="00A865EA" w:rsidRPr="004B5FFD" w:rsidRDefault="00292332" w:rsidP="00C24B25">
      <w:pPr>
        <w:spacing w:line="360" w:lineRule="auto"/>
        <w:jc w:val="center"/>
        <w:rPr>
          <w:rFonts w:ascii="Palatino Linotype" w:hAnsi="Palatino Linotype" w:cs="Arial"/>
          <w:b/>
          <w:sz w:val="22"/>
          <w:szCs w:val="22"/>
        </w:rPr>
      </w:pPr>
      <w:r>
        <w:rPr>
          <w:rFonts w:ascii="Palatino Linotype" w:hAnsi="Palatino Linotype" w:cs="Arial"/>
          <w:b/>
          <w:sz w:val="22"/>
          <w:szCs w:val="22"/>
        </w:rPr>
        <w:t>DECISION</w:t>
      </w:r>
      <w:r w:rsidR="00090A39">
        <w:rPr>
          <w:rFonts w:ascii="Palatino Linotype" w:hAnsi="Palatino Linotype" w:cs="Arial"/>
          <w:b/>
          <w:sz w:val="22"/>
          <w:szCs w:val="22"/>
        </w:rPr>
        <w:t xml:space="preserve"> OF UPPER </w:t>
      </w:r>
      <w:r w:rsidR="00441758">
        <w:rPr>
          <w:rFonts w:ascii="Palatino Linotype" w:hAnsi="Palatino Linotype" w:cs="Arial"/>
          <w:b/>
          <w:sz w:val="22"/>
          <w:szCs w:val="22"/>
        </w:rPr>
        <w:t>TRIBUNAL</w:t>
      </w:r>
      <w:r w:rsidR="00090A39">
        <w:rPr>
          <w:rFonts w:ascii="Palatino Linotype" w:hAnsi="Palatino Linotype" w:cs="Arial"/>
          <w:b/>
          <w:sz w:val="22"/>
          <w:szCs w:val="22"/>
        </w:rPr>
        <w:t xml:space="preserve"> JUDGE PINO DI EMIDIO</w:t>
      </w:r>
      <w:r w:rsidR="00944351" w:rsidRPr="004B5FFD">
        <w:rPr>
          <w:rFonts w:ascii="Palatino Linotype" w:hAnsi="Palatino Linotype"/>
          <w:b/>
          <w:sz w:val="22"/>
          <w:szCs w:val="22"/>
        </w:rPr>
        <w:fldChar w:fldCharType="begin"/>
      </w:r>
      <w:r w:rsidR="00944351" w:rsidRPr="004B5FFD">
        <w:rPr>
          <w:rFonts w:ascii="Palatino Linotype" w:hAnsi="Palatino Linotype"/>
          <w:b/>
          <w:sz w:val="22"/>
          <w:szCs w:val="22"/>
        </w:rPr>
        <w:instrText>MERGEFIELD TribunalMemberNameList</w:instrText>
      </w:r>
      <w:r w:rsidR="00944351" w:rsidRPr="004B5FFD">
        <w:rPr>
          <w:rFonts w:ascii="Palatino Linotype" w:hAnsi="Palatino Linotype"/>
          <w:b/>
          <w:sz w:val="22"/>
          <w:szCs w:val="22"/>
        </w:rPr>
        <w:fldChar w:fldCharType="end"/>
      </w:r>
    </w:p>
    <w:p w14:paraId="11EFB177" w14:textId="77777777" w:rsidR="00C24B25" w:rsidRDefault="0090065F" w:rsidP="00C24B25">
      <w:pPr>
        <w:spacing w:line="360" w:lineRule="auto"/>
        <w:jc w:val="center"/>
        <w:rPr>
          <w:rFonts w:ascii="Palatino Linotype" w:hAnsi="Palatino Linotype" w:cs="Arial"/>
          <w:sz w:val="22"/>
          <w:szCs w:val="22"/>
        </w:rPr>
      </w:pPr>
      <w:r>
        <w:rPr>
          <w:rFonts w:ascii="Palatino Linotype" w:hAnsi="Palatino Linotype" w:cs="Arial"/>
          <w:sz w:val="22"/>
          <w:szCs w:val="22"/>
        </w:rPr>
        <w:t>i</w:t>
      </w:r>
      <w:r w:rsidR="00D356C5">
        <w:rPr>
          <w:rFonts w:ascii="Palatino Linotype" w:hAnsi="Palatino Linotype" w:cs="Arial"/>
          <w:sz w:val="22"/>
          <w:szCs w:val="22"/>
        </w:rPr>
        <w:t>n an Appeal against a</w:t>
      </w:r>
    </w:p>
    <w:p w14:paraId="3377D136" w14:textId="5125800E" w:rsidR="0073763A" w:rsidRPr="004B5FFD" w:rsidRDefault="00C460B8" w:rsidP="00C24B25">
      <w:pPr>
        <w:spacing w:line="360" w:lineRule="auto"/>
        <w:jc w:val="center"/>
        <w:rPr>
          <w:rFonts w:ascii="Palatino Linotype" w:hAnsi="Palatino Linotype" w:cs="Arial"/>
          <w:sz w:val="22"/>
          <w:szCs w:val="22"/>
        </w:rPr>
      </w:pPr>
      <w:r>
        <w:rPr>
          <w:rFonts w:ascii="Palatino Linotype" w:hAnsi="Palatino Linotype" w:cs="Arial"/>
          <w:sz w:val="22"/>
          <w:szCs w:val="22"/>
        </w:rPr>
        <w:t>d</w:t>
      </w:r>
      <w:r w:rsidR="00D356C5">
        <w:rPr>
          <w:rFonts w:ascii="Palatino Linotype" w:hAnsi="Palatino Linotype" w:cs="Arial"/>
          <w:sz w:val="22"/>
          <w:szCs w:val="22"/>
        </w:rPr>
        <w:t>ecision of the First-Tier Tribunal for Scotland</w:t>
      </w:r>
    </w:p>
    <w:p w14:paraId="16A1DA30" w14:textId="77777777" w:rsidR="0073763A" w:rsidRPr="004B5FFD" w:rsidRDefault="00C24B25" w:rsidP="00C24B25">
      <w:pPr>
        <w:spacing w:line="360" w:lineRule="auto"/>
        <w:jc w:val="center"/>
        <w:rPr>
          <w:rFonts w:ascii="Palatino Linotype" w:hAnsi="Palatino Linotype" w:cs="Arial"/>
          <w:b/>
          <w:sz w:val="22"/>
          <w:szCs w:val="22"/>
        </w:rPr>
      </w:pPr>
      <w:r>
        <w:rPr>
          <w:rFonts w:ascii="Palatino Linotype" w:hAnsi="Palatino Linotype" w:cs="Arial"/>
          <w:sz w:val="22"/>
          <w:szCs w:val="22"/>
        </w:rPr>
        <w:t>i</w:t>
      </w:r>
      <w:r w:rsidR="00D356C5">
        <w:rPr>
          <w:rFonts w:ascii="Palatino Linotype" w:hAnsi="Palatino Linotype" w:cs="Arial"/>
          <w:sz w:val="22"/>
          <w:szCs w:val="22"/>
        </w:rPr>
        <w:t xml:space="preserve">n the case of </w:t>
      </w:r>
    </w:p>
    <w:p w14:paraId="5A3C278C" w14:textId="77777777" w:rsidR="000B4FC4" w:rsidRPr="004B5FFD" w:rsidRDefault="00D356C5" w:rsidP="00C24B25">
      <w:pPr>
        <w:spacing w:line="360" w:lineRule="auto"/>
        <w:jc w:val="center"/>
        <w:rPr>
          <w:rFonts w:ascii="Palatino Linotype" w:hAnsi="Palatino Linotype" w:cs="Arial"/>
          <w:sz w:val="22"/>
          <w:szCs w:val="22"/>
        </w:rPr>
      </w:pPr>
      <w:r w:rsidRPr="002E15E2">
        <w:rPr>
          <w:rFonts w:ascii="Palatino Linotype" w:hAnsi="Palatino Linotype"/>
          <w:sz w:val="22"/>
          <w:szCs w:val="22"/>
        </w:rPr>
        <w:t>MS KATE AFFLECK</w:t>
      </w:r>
      <w:r w:rsidRPr="00D356C5">
        <w:rPr>
          <w:rFonts w:ascii="Palatino Linotype" w:hAnsi="Palatino Linotype"/>
          <w:sz w:val="22"/>
          <w:szCs w:val="22"/>
        </w:rPr>
        <w:t>, Flat</w:t>
      </w:r>
      <w:r w:rsidR="009044F4">
        <w:rPr>
          <w:rFonts w:ascii="Palatino Linotype" w:hAnsi="Palatino Linotype"/>
          <w:sz w:val="22"/>
          <w:szCs w:val="22"/>
        </w:rPr>
        <w:t xml:space="preserve"> 2F2, 59 Forrest Road, Edinburgh</w:t>
      </w:r>
      <w:r w:rsidRPr="00D356C5">
        <w:rPr>
          <w:rFonts w:ascii="Palatino Linotype" w:hAnsi="Palatino Linotype"/>
          <w:sz w:val="22"/>
          <w:szCs w:val="22"/>
        </w:rPr>
        <w:t>, EH1 2QP</w:t>
      </w:r>
    </w:p>
    <w:p w14:paraId="50C603F8" w14:textId="77777777" w:rsidR="0073763A" w:rsidRPr="004B5FFD" w:rsidRDefault="0073763A" w:rsidP="00C24B25">
      <w:pPr>
        <w:spacing w:line="360" w:lineRule="auto"/>
        <w:jc w:val="right"/>
        <w:rPr>
          <w:rFonts w:ascii="Palatino Linotype" w:hAnsi="Palatino Linotype" w:cs="Arial"/>
          <w:sz w:val="22"/>
          <w:szCs w:val="22"/>
          <w:u w:val="single"/>
        </w:rPr>
      </w:pPr>
      <w:r w:rsidRPr="004B5FFD">
        <w:rPr>
          <w:rFonts w:ascii="Palatino Linotype" w:hAnsi="Palatino Linotype" w:cs="Arial"/>
          <w:sz w:val="22"/>
          <w:szCs w:val="22"/>
          <w:u w:val="single"/>
        </w:rPr>
        <w:t>Appellant</w:t>
      </w:r>
    </w:p>
    <w:p w14:paraId="57932054" w14:textId="5567F2C0" w:rsidR="0073763A" w:rsidRPr="004B5FFD" w:rsidRDefault="0073763A" w:rsidP="00C24B25">
      <w:pPr>
        <w:spacing w:line="360" w:lineRule="auto"/>
        <w:jc w:val="center"/>
        <w:rPr>
          <w:rFonts w:ascii="Palatino Linotype" w:hAnsi="Palatino Linotype" w:cs="Arial"/>
          <w:sz w:val="22"/>
          <w:szCs w:val="22"/>
        </w:rPr>
      </w:pPr>
      <w:r w:rsidRPr="004B5FFD">
        <w:rPr>
          <w:rFonts w:ascii="Palatino Linotype" w:hAnsi="Palatino Linotype" w:cs="Arial"/>
          <w:sz w:val="22"/>
          <w:szCs w:val="22"/>
        </w:rPr>
        <w:t>and</w:t>
      </w:r>
    </w:p>
    <w:p w14:paraId="424C0B2F" w14:textId="163DCF61" w:rsidR="00614854" w:rsidRDefault="00D356C5" w:rsidP="00614854">
      <w:pPr>
        <w:jc w:val="center"/>
        <w:rPr>
          <w:rFonts w:ascii="Palatino Linotype" w:hAnsi="Palatino Linotype"/>
          <w:sz w:val="22"/>
          <w:szCs w:val="22"/>
        </w:rPr>
      </w:pPr>
      <w:r>
        <w:rPr>
          <w:rFonts w:ascii="Palatino Linotype" w:hAnsi="Palatino Linotype"/>
          <w:sz w:val="22"/>
          <w:szCs w:val="22"/>
        </w:rPr>
        <w:t xml:space="preserve">MR </w:t>
      </w:r>
      <w:r w:rsidRPr="00D356C5">
        <w:rPr>
          <w:rFonts w:ascii="Palatino Linotype" w:hAnsi="Palatino Linotype"/>
          <w:sz w:val="22"/>
          <w:szCs w:val="22"/>
        </w:rPr>
        <w:t>C</w:t>
      </w:r>
      <w:r>
        <w:rPr>
          <w:rFonts w:ascii="Palatino Linotype" w:hAnsi="Palatino Linotype"/>
          <w:sz w:val="22"/>
          <w:szCs w:val="22"/>
        </w:rPr>
        <w:t>HRIS</w:t>
      </w:r>
      <w:r w:rsidRPr="00D356C5">
        <w:rPr>
          <w:rFonts w:ascii="Palatino Linotype" w:hAnsi="Palatino Linotype"/>
          <w:sz w:val="22"/>
          <w:szCs w:val="22"/>
        </w:rPr>
        <w:t xml:space="preserve"> B</w:t>
      </w:r>
      <w:r>
        <w:rPr>
          <w:rFonts w:ascii="Palatino Linotype" w:hAnsi="Palatino Linotype"/>
          <w:sz w:val="22"/>
          <w:szCs w:val="22"/>
        </w:rPr>
        <w:t>RONSDON</w:t>
      </w:r>
      <w:r w:rsidR="00D36FF8">
        <w:rPr>
          <w:rFonts w:ascii="Palatino Linotype" w:hAnsi="Palatino Linotype"/>
          <w:sz w:val="22"/>
          <w:szCs w:val="22"/>
        </w:rPr>
        <w:t xml:space="preserve"> and </w:t>
      </w:r>
      <w:r w:rsidRPr="00D356C5">
        <w:rPr>
          <w:rFonts w:ascii="Palatino Linotype" w:hAnsi="Palatino Linotype"/>
          <w:sz w:val="22"/>
          <w:szCs w:val="22"/>
        </w:rPr>
        <w:t>M</w:t>
      </w:r>
      <w:r w:rsidR="00D36FF8">
        <w:rPr>
          <w:rFonts w:ascii="Palatino Linotype" w:hAnsi="Palatino Linotype"/>
          <w:sz w:val="22"/>
          <w:szCs w:val="22"/>
        </w:rPr>
        <w:t>RS</w:t>
      </w:r>
      <w:r w:rsidRPr="00D356C5">
        <w:rPr>
          <w:rFonts w:ascii="Palatino Linotype" w:hAnsi="Palatino Linotype"/>
          <w:sz w:val="22"/>
          <w:szCs w:val="22"/>
        </w:rPr>
        <w:t xml:space="preserve"> S</w:t>
      </w:r>
      <w:r w:rsidR="00D36FF8">
        <w:rPr>
          <w:rFonts w:ascii="Palatino Linotype" w:hAnsi="Palatino Linotype"/>
          <w:sz w:val="22"/>
          <w:szCs w:val="22"/>
        </w:rPr>
        <w:t>ARAH</w:t>
      </w:r>
      <w:r w:rsidRPr="00D356C5">
        <w:rPr>
          <w:rFonts w:ascii="Palatino Linotype" w:hAnsi="Palatino Linotype"/>
          <w:sz w:val="22"/>
          <w:szCs w:val="22"/>
        </w:rPr>
        <w:t xml:space="preserve"> B</w:t>
      </w:r>
      <w:r w:rsidR="00D36FF8">
        <w:rPr>
          <w:rFonts w:ascii="Palatino Linotype" w:hAnsi="Palatino Linotype"/>
          <w:sz w:val="22"/>
          <w:szCs w:val="22"/>
        </w:rPr>
        <w:t>RONSDON</w:t>
      </w:r>
      <w:r w:rsidRPr="00D356C5">
        <w:rPr>
          <w:rFonts w:ascii="Palatino Linotype" w:hAnsi="Palatino Linotype"/>
          <w:sz w:val="22"/>
          <w:szCs w:val="22"/>
        </w:rPr>
        <w:t>, The Old Castle, East Saltoun, East</w:t>
      </w:r>
      <w:r w:rsidR="000A79AB">
        <w:rPr>
          <w:rFonts w:ascii="Palatino Linotype" w:hAnsi="Palatino Linotype"/>
          <w:sz w:val="22"/>
          <w:szCs w:val="22"/>
        </w:rPr>
        <w:t> </w:t>
      </w:r>
      <w:r w:rsidRPr="00D356C5">
        <w:rPr>
          <w:rFonts w:ascii="Palatino Linotype" w:hAnsi="Palatino Linotype"/>
          <w:sz w:val="22"/>
          <w:szCs w:val="22"/>
        </w:rPr>
        <w:t>Lothian, Near Pencaitland, Tranent, EH34 5DY</w:t>
      </w:r>
      <w:r w:rsidR="00D36FF8">
        <w:rPr>
          <w:rFonts w:ascii="Palatino Linotype" w:hAnsi="Palatino Linotype"/>
          <w:sz w:val="22"/>
          <w:szCs w:val="22"/>
        </w:rPr>
        <w:t xml:space="preserve">, </w:t>
      </w:r>
    </w:p>
    <w:p w14:paraId="7A55EDA7" w14:textId="77777777" w:rsidR="000B4FC4" w:rsidRPr="004B5FFD" w:rsidRDefault="00D356C5" w:rsidP="00614854">
      <w:pPr>
        <w:jc w:val="center"/>
        <w:rPr>
          <w:rFonts w:ascii="Palatino Linotype" w:hAnsi="Palatino Linotype" w:cs="Arial"/>
          <w:sz w:val="22"/>
          <w:szCs w:val="22"/>
        </w:rPr>
      </w:pPr>
      <w:r w:rsidRPr="00D356C5">
        <w:rPr>
          <w:rFonts w:ascii="Palatino Linotype" w:hAnsi="Palatino Linotype"/>
          <w:sz w:val="22"/>
          <w:szCs w:val="22"/>
        </w:rPr>
        <w:t>per Paris Steele, 1 High Street, Haddington, EH41 3ES</w:t>
      </w:r>
    </w:p>
    <w:p w14:paraId="4D8B08DE" w14:textId="77777777" w:rsidR="0073763A" w:rsidRPr="004B5FFD" w:rsidRDefault="0073763A" w:rsidP="008C3725">
      <w:pPr>
        <w:jc w:val="right"/>
        <w:rPr>
          <w:rFonts w:ascii="Palatino Linotype" w:hAnsi="Palatino Linotype" w:cs="Arial"/>
          <w:sz w:val="22"/>
          <w:szCs w:val="22"/>
          <w:u w:val="single"/>
        </w:rPr>
      </w:pPr>
      <w:r w:rsidRPr="004B5FFD">
        <w:rPr>
          <w:rFonts w:ascii="Palatino Linotype" w:hAnsi="Palatino Linotype" w:cs="Arial"/>
          <w:sz w:val="22"/>
          <w:szCs w:val="22"/>
          <w:u w:val="single"/>
        </w:rPr>
        <w:t>Respondent</w:t>
      </w:r>
      <w:r w:rsidR="00D36FF8">
        <w:rPr>
          <w:rFonts w:ascii="Palatino Linotype" w:hAnsi="Palatino Linotype" w:cs="Arial"/>
          <w:sz w:val="22"/>
          <w:szCs w:val="22"/>
          <w:u w:val="single"/>
        </w:rPr>
        <w:t>s</w:t>
      </w:r>
    </w:p>
    <w:p w14:paraId="69E00762" w14:textId="77777777" w:rsidR="0073763A" w:rsidRPr="004B5FFD" w:rsidRDefault="0073763A" w:rsidP="008C3725">
      <w:pPr>
        <w:rPr>
          <w:rFonts w:ascii="Palatino Linotype" w:hAnsi="Palatino Linotype" w:cs="Arial"/>
          <w:sz w:val="22"/>
          <w:szCs w:val="22"/>
        </w:rPr>
      </w:pPr>
    </w:p>
    <w:p w14:paraId="2C943CBE" w14:textId="39E0C04C" w:rsidR="000A79AB" w:rsidRDefault="00EC34EA" w:rsidP="005720B7">
      <w:pPr>
        <w:spacing w:line="360" w:lineRule="auto"/>
        <w:jc w:val="center"/>
        <w:rPr>
          <w:rFonts w:ascii="Palatino Linotype" w:hAnsi="Palatino Linotype" w:cs="Arial"/>
          <w:sz w:val="22"/>
          <w:szCs w:val="22"/>
        </w:rPr>
      </w:pPr>
      <w:r>
        <w:rPr>
          <w:rFonts w:ascii="Arial" w:hAnsi="Arial" w:cs="Arial"/>
          <w:color w:val="000000"/>
          <w:sz w:val="19"/>
          <w:szCs w:val="19"/>
        </w:rPr>
        <w:t xml:space="preserve">FTT Case Reference </w:t>
      </w:r>
      <w:r w:rsidR="005720B7">
        <w:rPr>
          <w:rFonts w:ascii="Arial" w:hAnsi="Arial" w:cs="Arial"/>
          <w:color w:val="000000"/>
          <w:sz w:val="19"/>
          <w:szCs w:val="19"/>
        </w:rPr>
        <w:t>FTS/HPC/TE/18/2663</w:t>
      </w:r>
    </w:p>
    <w:p w14:paraId="52883987" w14:textId="355C2F6D" w:rsidR="00441758" w:rsidRPr="008F7224" w:rsidRDefault="0050354E" w:rsidP="000A79AB">
      <w:pPr>
        <w:spacing w:line="480" w:lineRule="auto"/>
        <w:rPr>
          <w:rFonts w:ascii="Palatino Linotype" w:hAnsi="Palatino Linotype" w:cs="Arial"/>
          <w:sz w:val="22"/>
          <w:szCs w:val="22"/>
          <w:u w:val="single"/>
        </w:rPr>
      </w:pPr>
      <w:r w:rsidRPr="008F7224">
        <w:rPr>
          <w:rFonts w:ascii="Palatino Linotype" w:hAnsi="Palatino Linotype" w:cs="Arial"/>
          <w:sz w:val="22"/>
          <w:szCs w:val="22"/>
          <w:u w:val="single"/>
        </w:rPr>
        <w:t>28 September</w:t>
      </w:r>
      <w:r w:rsidR="00441758" w:rsidRPr="008F7224">
        <w:rPr>
          <w:rFonts w:ascii="Palatino Linotype" w:hAnsi="Palatino Linotype" w:cs="Arial"/>
          <w:sz w:val="22"/>
          <w:szCs w:val="22"/>
          <w:u w:val="single"/>
        </w:rPr>
        <w:t xml:space="preserve"> 2020</w:t>
      </w:r>
      <w:bookmarkStart w:id="0" w:name="_GoBack"/>
      <w:bookmarkEnd w:id="0"/>
    </w:p>
    <w:p w14:paraId="4F13E4B5" w14:textId="55BF23C5" w:rsidR="00441758" w:rsidRPr="0050354E" w:rsidRDefault="00441758" w:rsidP="000A79AB">
      <w:pPr>
        <w:spacing w:line="480" w:lineRule="auto"/>
        <w:rPr>
          <w:rFonts w:ascii="Palatino Linotype" w:hAnsi="Palatino Linotype" w:cs="Arial"/>
          <w:sz w:val="22"/>
          <w:szCs w:val="22"/>
        </w:rPr>
      </w:pPr>
      <w:r w:rsidRPr="0050354E">
        <w:rPr>
          <w:rFonts w:ascii="Palatino Linotype" w:hAnsi="Palatino Linotype" w:cs="Arial"/>
          <w:sz w:val="22"/>
          <w:szCs w:val="22"/>
        </w:rPr>
        <w:t xml:space="preserve">The Upper Tribunal </w:t>
      </w:r>
      <w:r w:rsidR="0050354E" w:rsidRPr="0050354E">
        <w:rPr>
          <w:rFonts w:ascii="Palatino Linotype" w:hAnsi="Palatino Linotype" w:cs="Arial"/>
          <w:sz w:val="22"/>
          <w:szCs w:val="22"/>
        </w:rPr>
        <w:t xml:space="preserve">having resumed consideration of the appeal, </w:t>
      </w:r>
      <w:r w:rsidR="00100074" w:rsidRPr="0050354E">
        <w:rPr>
          <w:rFonts w:ascii="Palatino Linotype" w:hAnsi="Palatino Linotype" w:cs="Arial"/>
          <w:sz w:val="22"/>
          <w:szCs w:val="22"/>
        </w:rPr>
        <w:t xml:space="preserve">makes the following </w:t>
      </w:r>
      <w:r w:rsidR="009044F4" w:rsidRPr="0050354E">
        <w:rPr>
          <w:rFonts w:ascii="Palatino Linotype" w:hAnsi="Palatino Linotype" w:cs="Arial"/>
          <w:sz w:val="22"/>
          <w:szCs w:val="22"/>
        </w:rPr>
        <w:t>Order</w:t>
      </w:r>
      <w:r w:rsidR="00447D02" w:rsidRPr="0050354E">
        <w:rPr>
          <w:rFonts w:ascii="Palatino Linotype" w:hAnsi="Palatino Linotype" w:cs="Arial"/>
          <w:sz w:val="22"/>
          <w:szCs w:val="22"/>
        </w:rPr>
        <w:t>s.</w:t>
      </w:r>
      <w:r w:rsidR="00100074" w:rsidRPr="0050354E">
        <w:rPr>
          <w:rFonts w:ascii="Palatino Linotype" w:hAnsi="Palatino Linotype" w:cs="Arial"/>
          <w:sz w:val="22"/>
          <w:szCs w:val="22"/>
        </w:rPr>
        <w:t xml:space="preserve"> </w:t>
      </w:r>
    </w:p>
    <w:p w14:paraId="487FFE2D" w14:textId="5C63CB65" w:rsidR="005D3126" w:rsidRPr="008F7224" w:rsidRDefault="008F7224" w:rsidP="008F7224">
      <w:pPr>
        <w:spacing w:line="480" w:lineRule="auto"/>
        <w:rPr>
          <w:rFonts w:ascii="Palatino Linotype" w:hAnsi="Palatino Linotype" w:cs="Arial"/>
          <w:sz w:val="22"/>
          <w:szCs w:val="22"/>
          <w:lang w:val="en-GB"/>
        </w:rPr>
      </w:pPr>
      <w:r w:rsidRPr="008F7224">
        <w:rPr>
          <w:rFonts w:ascii="Palatino Linotype" w:hAnsi="Palatino Linotype" w:cs="Arial"/>
          <w:sz w:val="22"/>
          <w:szCs w:val="22"/>
        </w:rPr>
        <w:t>1.</w:t>
      </w:r>
      <w:r w:rsidRPr="008F7224">
        <w:rPr>
          <w:rFonts w:ascii="Palatino Linotype" w:hAnsi="Palatino Linotype" w:cs="Arial"/>
          <w:sz w:val="22"/>
          <w:szCs w:val="22"/>
        </w:rPr>
        <w:tab/>
      </w:r>
      <w:r w:rsidR="00F060C3" w:rsidRPr="008F7224">
        <w:rPr>
          <w:rFonts w:ascii="Palatino Linotype" w:hAnsi="Palatino Linotype" w:cs="Arial"/>
          <w:sz w:val="22"/>
          <w:szCs w:val="22"/>
        </w:rPr>
        <w:t>Quashes the decision of the F</w:t>
      </w:r>
      <w:r w:rsidR="005D3126" w:rsidRPr="008F7224">
        <w:rPr>
          <w:rFonts w:ascii="Palatino Linotype" w:hAnsi="Palatino Linotype" w:cs="Arial"/>
          <w:sz w:val="22"/>
          <w:szCs w:val="22"/>
        </w:rPr>
        <w:t>irst-</w:t>
      </w:r>
      <w:r w:rsidR="00F060C3" w:rsidRPr="008F7224">
        <w:rPr>
          <w:rFonts w:ascii="Palatino Linotype" w:hAnsi="Palatino Linotype" w:cs="Arial"/>
          <w:sz w:val="22"/>
          <w:szCs w:val="22"/>
        </w:rPr>
        <w:t>t</w:t>
      </w:r>
      <w:r w:rsidR="005D3126" w:rsidRPr="008F7224">
        <w:rPr>
          <w:rFonts w:ascii="Palatino Linotype" w:hAnsi="Palatino Linotype" w:cs="Arial"/>
          <w:sz w:val="22"/>
          <w:szCs w:val="22"/>
        </w:rPr>
        <w:t xml:space="preserve">ier </w:t>
      </w:r>
      <w:r w:rsidR="00F060C3" w:rsidRPr="008F7224">
        <w:rPr>
          <w:rFonts w:ascii="Palatino Linotype" w:hAnsi="Palatino Linotype" w:cs="Arial"/>
          <w:sz w:val="22"/>
          <w:szCs w:val="22"/>
        </w:rPr>
        <w:t>T</w:t>
      </w:r>
      <w:r w:rsidR="005D3126" w:rsidRPr="008F7224">
        <w:rPr>
          <w:rFonts w:ascii="Palatino Linotype" w:hAnsi="Palatino Linotype" w:cs="Arial"/>
          <w:sz w:val="22"/>
          <w:szCs w:val="22"/>
        </w:rPr>
        <w:t>ribunal dated 15 January 2019.</w:t>
      </w:r>
    </w:p>
    <w:p w14:paraId="47E33C4E" w14:textId="2947197A" w:rsidR="005C028A" w:rsidRPr="008F7224" w:rsidRDefault="008F7224" w:rsidP="008F7224">
      <w:pPr>
        <w:spacing w:line="480" w:lineRule="auto"/>
        <w:rPr>
          <w:rFonts w:ascii="Palatino Linotype" w:hAnsi="Palatino Linotype" w:cs="Arial"/>
          <w:sz w:val="22"/>
          <w:szCs w:val="22"/>
          <w:lang w:val="en-GB"/>
        </w:rPr>
      </w:pPr>
      <w:r w:rsidRPr="008F7224">
        <w:rPr>
          <w:rFonts w:ascii="Palatino Linotype" w:hAnsi="Palatino Linotype" w:cs="Arial"/>
          <w:sz w:val="22"/>
          <w:szCs w:val="22"/>
        </w:rPr>
        <w:t>2.</w:t>
      </w:r>
      <w:r w:rsidRPr="008F7224">
        <w:rPr>
          <w:rFonts w:ascii="Palatino Linotype" w:hAnsi="Palatino Linotype" w:cs="Arial"/>
          <w:sz w:val="22"/>
          <w:szCs w:val="22"/>
        </w:rPr>
        <w:tab/>
      </w:r>
      <w:r w:rsidR="00F060C3" w:rsidRPr="008F7224">
        <w:rPr>
          <w:rFonts w:ascii="Palatino Linotype" w:hAnsi="Palatino Linotype" w:cs="Arial"/>
          <w:sz w:val="22"/>
          <w:szCs w:val="22"/>
        </w:rPr>
        <w:t>Remakes the decis</w:t>
      </w:r>
      <w:r w:rsidR="005D3126" w:rsidRPr="008F7224">
        <w:rPr>
          <w:rFonts w:ascii="Palatino Linotype" w:hAnsi="Palatino Linotype" w:cs="Arial"/>
          <w:sz w:val="22"/>
          <w:szCs w:val="22"/>
        </w:rPr>
        <w:t>ion under section 47 of the Tribunals (Scotland)</w:t>
      </w:r>
      <w:r w:rsidR="00F060C3" w:rsidRPr="008F7224">
        <w:rPr>
          <w:rFonts w:ascii="Palatino Linotype" w:hAnsi="Palatino Linotype" w:cs="Arial"/>
          <w:sz w:val="22"/>
          <w:szCs w:val="22"/>
        </w:rPr>
        <w:t xml:space="preserve"> Act </w:t>
      </w:r>
      <w:r w:rsidR="00F93D0A" w:rsidRPr="008F7224">
        <w:rPr>
          <w:rFonts w:ascii="Palatino Linotype" w:hAnsi="Palatino Linotype" w:cs="Arial"/>
          <w:sz w:val="22"/>
          <w:szCs w:val="22"/>
        </w:rPr>
        <w:t>2014.</w:t>
      </w:r>
    </w:p>
    <w:p w14:paraId="738D63CF" w14:textId="796DBC75" w:rsidR="005C028A" w:rsidRPr="00A176F1" w:rsidRDefault="00A176F1" w:rsidP="00C87869">
      <w:pPr>
        <w:spacing w:line="480" w:lineRule="auto"/>
        <w:ind w:left="1440" w:hanging="720"/>
        <w:rPr>
          <w:rFonts w:ascii="Palatino Linotype" w:hAnsi="Palatino Linotype" w:cs="Arial"/>
          <w:sz w:val="22"/>
          <w:szCs w:val="22"/>
          <w:lang w:val="en-GB"/>
        </w:rPr>
      </w:pPr>
      <w:r>
        <w:rPr>
          <w:rFonts w:ascii="Palatino Linotype" w:hAnsi="Palatino Linotype" w:cs="Arial"/>
          <w:sz w:val="22"/>
          <w:szCs w:val="22"/>
        </w:rPr>
        <w:t>a.</w:t>
      </w:r>
      <w:r>
        <w:rPr>
          <w:rFonts w:ascii="Palatino Linotype" w:hAnsi="Palatino Linotype" w:cs="Arial"/>
          <w:sz w:val="22"/>
          <w:szCs w:val="22"/>
        </w:rPr>
        <w:tab/>
      </w:r>
      <w:r w:rsidR="00F060C3" w:rsidRPr="00A176F1">
        <w:rPr>
          <w:rFonts w:ascii="Palatino Linotype" w:hAnsi="Palatino Linotype" w:cs="Arial"/>
          <w:sz w:val="22"/>
          <w:szCs w:val="22"/>
        </w:rPr>
        <w:t xml:space="preserve">Finds </w:t>
      </w:r>
      <w:r w:rsidR="00794F5B" w:rsidRPr="00A176F1">
        <w:rPr>
          <w:rFonts w:ascii="Palatino Linotype" w:hAnsi="Palatino Linotype" w:cs="Arial"/>
          <w:sz w:val="22"/>
          <w:szCs w:val="22"/>
        </w:rPr>
        <w:t>in fact as follows.</w:t>
      </w:r>
      <w:r w:rsidR="005C028A" w:rsidRPr="00A176F1">
        <w:rPr>
          <w:rFonts w:ascii="Palatino Linotype" w:hAnsi="Palatino Linotype" w:cs="Arial"/>
          <w:sz w:val="22"/>
          <w:szCs w:val="22"/>
        </w:rPr>
        <w:t xml:space="preserve"> </w:t>
      </w:r>
    </w:p>
    <w:p w14:paraId="123AF67C" w14:textId="4109E635" w:rsidR="002143D2" w:rsidRPr="00A176F1" w:rsidRDefault="00A176F1"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i.</w:t>
      </w:r>
      <w:r w:rsidRPr="00A176F1">
        <w:rPr>
          <w:rFonts w:ascii="Palatino Linotype" w:hAnsi="Palatino Linotype" w:cs="Arial"/>
          <w:sz w:val="22"/>
          <w:szCs w:val="22"/>
          <w:lang w:val="en-GB"/>
        </w:rPr>
        <w:tab/>
      </w:r>
      <w:r w:rsidR="002143D2" w:rsidRPr="00A176F1">
        <w:rPr>
          <w:rFonts w:ascii="Palatino Linotype" w:hAnsi="Palatino Linotype" w:cs="Arial"/>
          <w:sz w:val="22"/>
          <w:szCs w:val="22"/>
          <w:lang w:val="en-GB"/>
        </w:rPr>
        <w:t xml:space="preserve">In about December 2017 the appellant was looking for new accommodation. She became aware of a suitable space within a flat 2F2 95 Forrest Road, Edinburgh, EH1 2QP (“the flat”). </w:t>
      </w:r>
    </w:p>
    <w:p w14:paraId="7B0EB74E" w14:textId="1151ED2A" w:rsidR="002143D2"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ii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2143D2" w:rsidRPr="00A176F1">
        <w:rPr>
          <w:rFonts w:ascii="Palatino Linotype" w:hAnsi="Palatino Linotype" w:cs="Arial"/>
          <w:sz w:val="22"/>
          <w:szCs w:val="22"/>
          <w:lang w:val="en-GB"/>
        </w:rPr>
        <w:t>The flat was owned by the respondents at all material times.</w:t>
      </w:r>
      <w:r w:rsidR="00A81F8C" w:rsidRPr="00A176F1">
        <w:rPr>
          <w:rFonts w:ascii="Palatino Linotype" w:hAnsi="Palatino Linotype" w:cs="Arial"/>
          <w:sz w:val="22"/>
          <w:szCs w:val="22"/>
          <w:lang w:val="en-GB"/>
        </w:rPr>
        <w:t xml:space="preserve"> Four individual rooms were available fo</w:t>
      </w:r>
      <w:r w:rsidR="0050354E" w:rsidRPr="00A176F1">
        <w:rPr>
          <w:rFonts w:ascii="Palatino Linotype" w:hAnsi="Palatino Linotype" w:cs="Arial"/>
          <w:sz w:val="22"/>
          <w:szCs w:val="22"/>
          <w:lang w:val="en-GB"/>
        </w:rPr>
        <w:t>r rent to separate tenants. Th</w:t>
      </w:r>
      <w:r w:rsidR="00A81F8C" w:rsidRPr="00A176F1">
        <w:rPr>
          <w:rFonts w:ascii="Palatino Linotype" w:hAnsi="Palatino Linotype" w:cs="Arial"/>
          <w:sz w:val="22"/>
          <w:szCs w:val="22"/>
          <w:lang w:val="en-GB"/>
        </w:rPr>
        <w:t xml:space="preserve">e </w:t>
      </w:r>
      <w:r w:rsidR="0050354E" w:rsidRPr="00A176F1">
        <w:rPr>
          <w:rFonts w:ascii="Palatino Linotype" w:hAnsi="Palatino Linotype" w:cs="Arial"/>
          <w:sz w:val="22"/>
          <w:szCs w:val="22"/>
          <w:lang w:val="en-GB"/>
        </w:rPr>
        <w:lastRenderedPageBreak/>
        <w:t xml:space="preserve">individual </w:t>
      </w:r>
      <w:r w:rsidR="00A81F8C" w:rsidRPr="00A176F1">
        <w:rPr>
          <w:rFonts w:ascii="Palatino Linotype" w:hAnsi="Palatino Linotype" w:cs="Arial"/>
          <w:sz w:val="22"/>
          <w:szCs w:val="22"/>
          <w:lang w:val="en-GB"/>
        </w:rPr>
        <w:t>tenants shared the use of other parts of the accommodation and facilities in the flat including the kitchen, a living room and a bathroom.</w:t>
      </w:r>
    </w:p>
    <w:p w14:paraId="7E9B1761" w14:textId="41B0800F" w:rsidR="002143D2"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iii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2143D2" w:rsidRPr="00A176F1">
        <w:rPr>
          <w:rFonts w:ascii="Palatino Linotype" w:hAnsi="Palatino Linotype" w:cs="Arial"/>
          <w:sz w:val="22"/>
          <w:szCs w:val="22"/>
          <w:lang w:val="en-GB"/>
        </w:rPr>
        <w:t>After viewing the flat the appellant agreed to move in. She entered into email correspondence with the respondents prior to moving into the flat. On 13 December 2017 the second named respondent sent her various details</w:t>
      </w:r>
      <w:r w:rsidR="0050354E" w:rsidRPr="00A176F1">
        <w:rPr>
          <w:rFonts w:ascii="Palatino Linotype" w:hAnsi="Palatino Linotype" w:cs="Arial"/>
          <w:sz w:val="22"/>
          <w:szCs w:val="22"/>
          <w:lang w:val="en-GB"/>
        </w:rPr>
        <w:t xml:space="preserve"> by email including</w:t>
      </w:r>
      <w:r w:rsidR="002143D2" w:rsidRPr="00A176F1">
        <w:rPr>
          <w:rFonts w:ascii="Palatino Linotype" w:hAnsi="Palatino Linotype" w:cs="Arial"/>
          <w:sz w:val="22"/>
          <w:szCs w:val="22"/>
          <w:lang w:val="en-GB"/>
        </w:rPr>
        <w:t xml:space="preserve"> a tenant’s handbook and information about the tenancy deposit scheme. The emails included a “New Tenant Registration Form.Doc”, which gave the respondents’ bank details and sort code, and gave a date of transfer of the first day of each month, and stated a rent amount of £350 per month.  </w:t>
      </w:r>
      <w:r w:rsidR="0050354E" w:rsidRPr="00A176F1">
        <w:rPr>
          <w:rFonts w:ascii="Palatino Linotype" w:hAnsi="Palatino Linotype" w:cs="Arial"/>
          <w:sz w:val="22"/>
          <w:szCs w:val="22"/>
          <w:lang w:val="en-GB"/>
        </w:rPr>
        <w:t>On about 17 December 2017 the appellant replied accepting these terms.</w:t>
      </w:r>
    </w:p>
    <w:p w14:paraId="1EDCE1BF" w14:textId="03DD2C5C" w:rsidR="004549A2"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rPr>
        <w:t>iv</w:t>
      </w:r>
      <w:r w:rsidR="00A176F1" w:rsidRPr="00A176F1">
        <w:rPr>
          <w:rFonts w:ascii="Palatino Linotype" w:hAnsi="Palatino Linotype" w:cs="Arial"/>
          <w:sz w:val="22"/>
          <w:szCs w:val="22"/>
        </w:rPr>
        <w:t>.</w:t>
      </w:r>
      <w:r w:rsidR="00A176F1" w:rsidRPr="00A176F1">
        <w:rPr>
          <w:rFonts w:ascii="Palatino Linotype" w:hAnsi="Palatino Linotype" w:cs="Arial"/>
          <w:sz w:val="22"/>
          <w:szCs w:val="22"/>
        </w:rPr>
        <w:tab/>
      </w:r>
      <w:r w:rsidR="005D3126" w:rsidRPr="00A176F1">
        <w:rPr>
          <w:rFonts w:ascii="Palatino Linotype" w:hAnsi="Palatino Linotype" w:cs="Arial"/>
          <w:sz w:val="22"/>
          <w:szCs w:val="22"/>
        </w:rPr>
        <w:t xml:space="preserve">The appellant </w:t>
      </w:r>
      <w:r w:rsidR="005D3126" w:rsidRPr="00A176F1">
        <w:rPr>
          <w:rFonts w:ascii="Palatino Linotype" w:hAnsi="Palatino Linotype" w:cs="Arial"/>
          <w:sz w:val="22"/>
          <w:szCs w:val="22"/>
          <w:lang w:val="en-GB"/>
        </w:rPr>
        <w:t xml:space="preserve">moved into </w:t>
      </w:r>
      <w:r w:rsidR="002143D2" w:rsidRPr="00A176F1">
        <w:rPr>
          <w:rFonts w:ascii="Palatino Linotype" w:hAnsi="Palatino Linotype" w:cs="Arial"/>
          <w:sz w:val="22"/>
          <w:szCs w:val="22"/>
          <w:lang w:val="en-GB"/>
        </w:rPr>
        <w:t xml:space="preserve">the flat </w:t>
      </w:r>
      <w:r w:rsidR="005D3126" w:rsidRPr="00A176F1">
        <w:rPr>
          <w:rFonts w:ascii="Palatino Linotype" w:hAnsi="Palatino Linotype" w:cs="Arial"/>
          <w:sz w:val="22"/>
          <w:szCs w:val="22"/>
          <w:lang w:val="en-GB"/>
        </w:rPr>
        <w:t>on 1 January 2018. She was one of four residents, and replaced an outgoing resident</w:t>
      </w:r>
      <w:r w:rsidR="009A5EC6" w:rsidRPr="00A176F1">
        <w:rPr>
          <w:rFonts w:ascii="Palatino Linotype" w:hAnsi="Palatino Linotype" w:cs="Arial"/>
          <w:sz w:val="22"/>
          <w:szCs w:val="22"/>
          <w:lang w:val="en-GB"/>
        </w:rPr>
        <w:t>.</w:t>
      </w:r>
    </w:p>
    <w:p w14:paraId="1ACD1975" w14:textId="4469D640" w:rsidR="00447D02"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v</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447D02" w:rsidRPr="00A176F1">
        <w:rPr>
          <w:rFonts w:ascii="Palatino Linotype" w:hAnsi="Palatino Linotype" w:cs="Arial"/>
          <w:sz w:val="22"/>
          <w:szCs w:val="22"/>
          <w:lang w:val="en-GB"/>
        </w:rPr>
        <w:t>The appellant had exclusive occupation of a bedroom and shared the use of other parts of the accommodation and facilities in the flat including the kitchen, a living room and a bathroom.</w:t>
      </w:r>
      <w:r w:rsidR="004307C9" w:rsidRPr="00A176F1">
        <w:rPr>
          <w:rFonts w:ascii="Palatino Linotype" w:hAnsi="Palatino Linotype" w:cs="Arial"/>
          <w:sz w:val="22"/>
          <w:szCs w:val="22"/>
          <w:lang w:val="en-GB"/>
        </w:rPr>
        <w:t xml:space="preserve"> </w:t>
      </w:r>
    </w:p>
    <w:p w14:paraId="49565267" w14:textId="734B6CE9" w:rsidR="00BC2626"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vi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4307C9" w:rsidRPr="00A176F1">
        <w:rPr>
          <w:rFonts w:ascii="Palatino Linotype" w:hAnsi="Palatino Linotype" w:cs="Arial"/>
          <w:sz w:val="22"/>
          <w:szCs w:val="22"/>
          <w:lang w:val="en-GB"/>
        </w:rPr>
        <w:t xml:space="preserve">The appellant paid </w:t>
      </w:r>
      <w:r w:rsidR="00BC2626" w:rsidRPr="00A176F1">
        <w:rPr>
          <w:rFonts w:ascii="Palatino Linotype" w:hAnsi="Palatino Linotype" w:cs="Arial"/>
          <w:sz w:val="22"/>
          <w:szCs w:val="22"/>
          <w:lang w:val="en-GB"/>
        </w:rPr>
        <w:t xml:space="preserve">rent of £350 per month in terms of her agreement with the respondents. </w:t>
      </w:r>
      <w:r w:rsidR="00447D02" w:rsidRPr="00A176F1">
        <w:rPr>
          <w:rFonts w:ascii="Palatino Linotype" w:hAnsi="Palatino Linotype" w:cs="Arial"/>
          <w:sz w:val="22"/>
          <w:szCs w:val="22"/>
          <w:lang w:val="en-GB"/>
        </w:rPr>
        <w:t xml:space="preserve">She also paid </w:t>
      </w:r>
      <w:r w:rsidR="004307C9" w:rsidRPr="00A176F1">
        <w:rPr>
          <w:rFonts w:ascii="Palatino Linotype" w:hAnsi="Palatino Linotype" w:cs="Arial"/>
          <w:sz w:val="22"/>
          <w:szCs w:val="22"/>
          <w:lang w:val="en-GB"/>
        </w:rPr>
        <w:t xml:space="preserve">the respondents </w:t>
      </w:r>
      <w:r w:rsidR="00447D02" w:rsidRPr="00A176F1">
        <w:rPr>
          <w:rFonts w:ascii="Palatino Linotype" w:hAnsi="Palatino Linotype" w:cs="Arial"/>
          <w:sz w:val="22"/>
          <w:szCs w:val="22"/>
          <w:lang w:val="en-GB"/>
        </w:rPr>
        <w:t>a</w:t>
      </w:r>
      <w:r w:rsidR="00A81F8C" w:rsidRPr="00A176F1">
        <w:rPr>
          <w:rFonts w:ascii="Palatino Linotype" w:hAnsi="Palatino Linotype" w:cs="Arial"/>
          <w:sz w:val="22"/>
          <w:szCs w:val="22"/>
          <w:lang w:val="en-GB"/>
        </w:rPr>
        <w:t>n agreed</w:t>
      </w:r>
      <w:r w:rsidR="00447D02" w:rsidRPr="00A176F1">
        <w:rPr>
          <w:rFonts w:ascii="Palatino Linotype" w:hAnsi="Palatino Linotype" w:cs="Arial"/>
          <w:sz w:val="22"/>
          <w:szCs w:val="22"/>
          <w:lang w:val="en-GB"/>
        </w:rPr>
        <w:t xml:space="preserve"> deposit of £350. </w:t>
      </w:r>
    </w:p>
    <w:p w14:paraId="0FA41C67" w14:textId="0555231E" w:rsidR="00A81F8C"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vii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B4178B" w:rsidRPr="00A176F1">
        <w:rPr>
          <w:rFonts w:ascii="Palatino Linotype" w:hAnsi="Palatino Linotype" w:cs="Arial"/>
          <w:sz w:val="22"/>
          <w:szCs w:val="22"/>
          <w:lang w:val="en-GB"/>
        </w:rPr>
        <w:t xml:space="preserve">The appellant resided in the flat for several months, paying monthly rental, without incident or dispute. </w:t>
      </w:r>
    </w:p>
    <w:p w14:paraId="25E24CDF" w14:textId="1026D34C" w:rsidR="00CD37D3"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viii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CD37D3" w:rsidRPr="00A176F1">
        <w:rPr>
          <w:rFonts w:ascii="Palatino Linotype" w:hAnsi="Palatino Linotype" w:cs="Arial"/>
          <w:sz w:val="22"/>
          <w:szCs w:val="22"/>
          <w:lang w:val="en-GB"/>
        </w:rPr>
        <w:t>The duration of the lease was not agreed.</w:t>
      </w:r>
    </w:p>
    <w:p w14:paraId="67831F97" w14:textId="63CE5F92" w:rsidR="00C07AB3"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lastRenderedPageBreak/>
        <w:t>ix</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B4178B" w:rsidRPr="00A176F1">
        <w:rPr>
          <w:rFonts w:ascii="Palatino Linotype" w:hAnsi="Palatino Linotype" w:cs="Arial"/>
          <w:sz w:val="22"/>
          <w:szCs w:val="22"/>
          <w:lang w:val="en-GB"/>
        </w:rPr>
        <w:t>S</w:t>
      </w:r>
      <w:r w:rsidR="004549A2" w:rsidRPr="00A176F1">
        <w:rPr>
          <w:rFonts w:ascii="Palatino Linotype" w:hAnsi="Palatino Linotype" w:cs="Arial"/>
          <w:sz w:val="22"/>
          <w:szCs w:val="22"/>
          <w:lang w:val="en-GB"/>
        </w:rPr>
        <w:t>ome mo</w:t>
      </w:r>
      <w:r w:rsidR="00204C08" w:rsidRPr="00A176F1">
        <w:rPr>
          <w:rFonts w:ascii="Palatino Linotype" w:hAnsi="Palatino Linotype" w:cs="Arial"/>
          <w:sz w:val="22"/>
          <w:szCs w:val="22"/>
          <w:lang w:val="en-GB"/>
        </w:rPr>
        <w:t>n</w:t>
      </w:r>
      <w:r w:rsidR="001F0B7E" w:rsidRPr="00A176F1">
        <w:rPr>
          <w:rFonts w:ascii="Palatino Linotype" w:hAnsi="Palatino Linotype" w:cs="Arial"/>
          <w:sz w:val="22"/>
          <w:szCs w:val="22"/>
          <w:lang w:val="en-GB"/>
        </w:rPr>
        <w:t>ths after she first moved in t</w:t>
      </w:r>
      <w:r w:rsidR="00B4178B" w:rsidRPr="00A176F1">
        <w:rPr>
          <w:rFonts w:ascii="Palatino Linotype" w:hAnsi="Palatino Linotype" w:cs="Arial"/>
          <w:sz w:val="22"/>
          <w:szCs w:val="22"/>
          <w:lang w:val="en-GB"/>
        </w:rPr>
        <w:t xml:space="preserve">he </w:t>
      </w:r>
      <w:r w:rsidR="001F0B7E" w:rsidRPr="00A176F1">
        <w:rPr>
          <w:rFonts w:ascii="Palatino Linotype" w:hAnsi="Palatino Linotype" w:cs="Arial"/>
          <w:sz w:val="22"/>
          <w:szCs w:val="22"/>
          <w:lang w:val="en-GB"/>
        </w:rPr>
        <w:t xml:space="preserve">appellant </w:t>
      </w:r>
      <w:r w:rsidR="00B4178B" w:rsidRPr="00A176F1">
        <w:rPr>
          <w:rFonts w:ascii="Palatino Linotype" w:hAnsi="Palatino Linotype" w:cs="Arial"/>
          <w:sz w:val="22"/>
          <w:szCs w:val="22"/>
          <w:lang w:val="en-GB"/>
        </w:rPr>
        <w:t xml:space="preserve">moved </w:t>
      </w:r>
      <w:r w:rsidR="004549A2" w:rsidRPr="00A176F1">
        <w:rPr>
          <w:rFonts w:ascii="Palatino Linotype" w:hAnsi="Palatino Linotype" w:cs="Arial"/>
          <w:sz w:val="22"/>
          <w:szCs w:val="22"/>
          <w:lang w:val="en-GB"/>
        </w:rPr>
        <w:t xml:space="preserve">to occupy exclusively a different </w:t>
      </w:r>
      <w:r w:rsidR="00B4178B" w:rsidRPr="00A176F1">
        <w:rPr>
          <w:rFonts w:ascii="Palatino Linotype" w:hAnsi="Palatino Linotype" w:cs="Arial"/>
          <w:sz w:val="22"/>
          <w:szCs w:val="22"/>
          <w:lang w:val="en-GB"/>
        </w:rPr>
        <w:t>room within the flat after one of the other residents moved out.</w:t>
      </w:r>
      <w:r w:rsidR="004549A2" w:rsidRPr="00A176F1">
        <w:rPr>
          <w:rFonts w:ascii="Palatino Linotype" w:hAnsi="Palatino Linotype" w:cs="Arial"/>
          <w:sz w:val="22"/>
          <w:szCs w:val="22"/>
          <w:lang w:val="en-GB"/>
        </w:rPr>
        <w:t xml:space="preserve"> She continued to share other parts of the accommodation and facilities in the flat</w:t>
      </w:r>
      <w:r w:rsidR="00204C08" w:rsidRPr="00A176F1">
        <w:rPr>
          <w:rFonts w:ascii="Palatino Linotype" w:hAnsi="Palatino Linotype" w:cs="Arial"/>
          <w:sz w:val="22"/>
          <w:szCs w:val="22"/>
          <w:lang w:val="en-GB"/>
        </w:rPr>
        <w:t xml:space="preserve"> including the kitche</w:t>
      </w:r>
      <w:r w:rsidR="008D26BE" w:rsidRPr="00A176F1">
        <w:rPr>
          <w:rFonts w:ascii="Palatino Linotype" w:hAnsi="Palatino Linotype" w:cs="Arial"/>
          <w:sz w:val="22"/>
          <w:szCs w:val="22"/>
          <w:lang w:val="en-GB"/>
        </w:rPr>
        <w:t>n, a living room and a bathroom.</w:t>
      </w:r>
      <w:r w:rsidR="00AC684F" w:rsidRPr="00A176F1">
        <w:rPr>
          <w:rFonts w:ascii="Palatino Linotype" w:hAnsi="Palatino Linotype" w:cs="Arial"/>
          <w:sz w:val="22"/>
          <w:szCs w:val="22"/>
          <w:lang w:val="en-GB"/>
        </w:rPr>
        <w:t xml:space="preserve"> </w:t>
      </w:r>
    </w:p>
    <w:p w14:paraId="2CAB307E" w14:textId="120F9C4D" w:rsidR="00F9352A"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x</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C07AB3" w:rsidRPr="00A176F1">
        <w:rPr>
          <w:rFonts w:ascii="Palatino Linotype" w:hAnsi="Palatino Linotype" w:cs="Arial"/>
          <w:sz w:val="22"/>
          <w:szCs w:val="22"/>
          <w:lang w:val="en-GB"/>
        </w:rPr>
        <w:t>The appellant’s main purpose in leasing t</w:t>
      </w:r>
      <w:r w:rsidR="009A5EC6" w:rsidRPr="00A176F1">
        <w:rPr>
          <w:rFonts w:ascii="Palatino Linotype" w:hAnsi="Palatino Linotype" w:cs="Arial"/>
          <w:sz w:val="22"/>
          <w:szCs w:val="22"/>
          <w:lang w:val="en-GB"/>
        </w:rPr>
        <w:t xml:space="preserve">he parts of the flat that she occupied exclusively and that she shared with </w:t>
      </w:r>
      <w:r w:rsidR="00C07AB3" w:rsidRPr="00A176F1">
        <w:rPr>
          <w:rFonts w:ascii="Palatino Linotype" w:hAnsi="Palatino Linotype" w:cs="Arial"/>
          <w:sz w:val="22"/>
          <w:szCs w:val="22"/>
          <w:lang w:val="en-GB"/>
        </w:rPr>
        <w:t xml:space="preserve">the </w:t>
      </w:r>
      <w:r w:rsidR="009A5EC6" w:rsidRPr="00A176F1">
        <w:rPr>
          <w:rFonts w:ascii="Palatino Linotype" w:hAnsi="Palatino Linotype" w:cs="Arial"/>
          <w:sz w:val="22"/>
          <w:szCs w:val="22"/>
          <w:lang w:val="en-GB"/>
        </w:rPr>
        <w:t>other resid</w:t>
      </w:r>
      <w:r w:rsidR="00C07AB3" w:rsidRPr="00A176F1">
        <w:rPr>
          <w:rFonts w:ascii="Palatino Linotype" w:hAnsi="Palatino Linotype" w:cs="Arial"/>
          <w:sz w:val="22"/>
          <w:szCs w:val="22"/>
          <w:lang w:val="en-GB"/>
        </w:rPr>
        <w:t xml:space="preserve">ents was to provide her with </w:t>
      </w:r>
      <w:r w:rsidR="009A5EC6" w:rsidRPr="00A176F1">
        <w:rPr>
          <w:rFonts w:ascii="Palatino Linotype" w:hAnsi="Palatino Linotype" w:cs="Arial"/>
          <w:sz w:val="22"/>
          <w:szCs w:val="22"/>
          <w:lang w:val="en-GB"/>
        </w:rPr>
        <w:t xml:space="preserve">a home. </w:t>
      </w:r>
    </w:p>
    <w:p w14:paraId="4337A422" w14:textId="2CE17576" w:rsidR="00F9352A"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xi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F9352A" w:rsidRPr="00A176F1">
        <w:rPr>
          <w:rFonts w:ascii="Palatino Linotype" w:hAnsi="Palatino Linotype" w:cs="Arial"/>
          <w:sz w:val="22"/>
          <w:szCs w:val="22"/>
          <w:lang w:val="en-GB"/>
        </w:rPr>
        <w:t xml:space="preserve">The lease of the flat was in existence on 8 October 2018 when the appellant made her application to the First-tier Tribunal under Rule 107 of the First-tier Tribunal for Scotland Housing and Property Chamber Rules of Procedure 2017 (“the 2017 Rules”). </w:t>
      </w:r>
    </w:p>
    <w:p w14:paraId="5BDE12C4" w14:textId="1B0A0090" w:rsidR="00F9352A"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xii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F9352A" w:rsidRPr="00A176F1">
        <w:rPr>
          <w:rFonts w:ascii="Palatino Linotype" w:hAnsi="Palatino Linotype" w:cs="Arial"/>
          <w:sz w:val="22"/>
          <w:szCs w:val="22"/>
          <w:lang w:val="en-GB"/>
        </w:rPr>
        <w:t xml:space="preserve">As at that date the respondents had not provided the appellant with written terms of the tenancy as they were required to do under section 10 of the Private Housing (Tenancies) (Scotland) Act </w:t>
      </w:r>
      <w:r w:rsidR="00E75D40" w:rsidRPr="00A176F1">
        <w:rPr>
          <w:rFonts w:ascii="Palatino Linotype" w:hAnsi="Palatino Linotype" w:cs="Arial"/>
          <w:sz w:val="22"/>
          <w:szCs w:val="22"/>
          <w:lang w:val="en-GB"/>
        </w:rPr>
        <w:t>2016.</w:t>
      </w:r>
      <w:r w:rsidR="00F9352A" w:rsidRPr="00A176F1">
        <w:rPr>
          <w:rFonts w:ascii="Palatino Linotype" w:hAnsi="Palatino Linotype" w:cs="Arial"/>
          <w:sz w:val="22"/>
          <w:szCs w:val="22"/>
          <w:lang w:val="en-GB"/>
        </w:rPr>
        <w:t xml:space="preserve"> </w:t>
      </w:r>
    </w:p>
    <w:p w14:paraId="6B169F31" w14:textId="120E4C3C" w:rsidR="00F9352A" w:rsidRPr="00A176F1" w:rsidRDefault="00C87869" w:rsidP="00A176F1">
      <w:pPr>
        <w:spacing w:line="480" w:lineRule="auto"/>
        <w:ind w:left="2160" w:hanging="720"/>
        <w:rPr>
          <w:rFonts w:ascii="Palatino Linotype" w:hAnsi="Palatino Linotype" w:cs="Arial"/>
          <w:sz w:val="22"/>
          <w:szCs w:val="22"/>
          <w:lang w:val="en-GB"/>
        </w:rPr>
      </w:pPr>
      <w:r w:rsidRPr="00A176F1">
        <w:rPr>
          <w:rFonts w:ascii="Palatino Linotype" w:hAnsi="Palatino Linotype" w:cs="Arial"/>
          <w:sz w:val="22"/>
          <w:szCs w:val="22"/>
          <w:lang w:val="en-GB"/>
        </w:rPr>
        <w:t>xiii</w:t>
      </w:r>
      <w:r w:rsidR="00A176F1" w:rsidRPr="00A176F1">
        <w:rPr>
          <w:rFonts w:ascii="Palatino Linotype" w:hAnsi="Palatino Linotype" w:cs="Arial"/>
          <w:sz w:val="22"/>
          <w:szCs w:val="22"/>
          <w:lang w:val="en-GB"/>
        </w:rPr>
        <w:t>.</w:t>
      </w:r>
      <w:r w:rsidR="00A176F1" w:rsidRPr="00A176F1">
        <w:rPr>
          <w:rFonts w:ascii="Palatino Linotype" w:hAnsi="Palatino Linotype" w:cs="Arial"/>
          <w:sz w:val="22"/>
          <w:szCs w:val="22"/>
          <w:lang w:val="en-GB"/>
        </w:rPr>
        <w:tab/>
      </w:r>
      <w:r w:rsidR="00F9352A" w:rsidRPr="00A176F1">
        <w:rPr>
          <w:rFonts w:ascii="Palatino Linotype" w:hAnsi="Palatino Linotype" w:cs="Arial"/>
          <w:sz w:val="22"/>
          <w:szCs w:val="22"/>
          <w:lang w:val="en-GB"/>
        </w:rPr>
        <w:t>On 14 January 2019</w:t>
      </w:r>
      <w:r w:rsidR="00E92AC0" w:rsidRPr="00A176F1">
        <w:rPr>
          <w:rFonts w:ascii="Palatino Linotype" w:hAnsi="Palatino Linotype" w:cs="Arial"/>
          <w:sz w:val="22"/>
          <w:szCs w:val="22"/>
          <w:lang w:val="en-GB"/>
        </w:rPr>
        <w:t>,</w:t>
      </w:r>
      <w:r w:rsidR="00F9352A" w:rsidRPr="00A176F1">
        <w:rPr>
          <w:rFonts w:ascii="Palatino Linotype" w:hAnsi="Palatino Linotype" w:cs="Arial"/>
          <w:sz w:val="22"/>
          <w:szCs w:val="22"/>
          <w:lang w:val="en-GB"/>
        </w:rPr>
        <w:t xml:space="preserve"> when the First-tier Tribunal considered the appellant’s application under Rule 107 of the 2017 Rules</w:t>
      </w:r>
      <w:r w:rsidR="00E92AC0" w:rsidRPr="00A176F1">
        <w:rPr>
          <w:rFonts w:ascii="Palatino Linotype" w:hAnsi="Palatino Linotype" w:cs="Arial"/>
          <w:sz w:val="22"/>
          <w:szCs w:val="22"/>
          <w:lang w:val="en-GB"/>
        </w:rPr>
        <w:t>,</w:t>
      </w:r>
      <w:r w:rsidR="00F9352A" w:rsidRPr="00A176F1">
        <w:rPr>
          <w:rFonts w:ascii="Palatino Linotype" w:hAnsi="Palatino Linotype" w:cs="Arial"/>
          <w:sz w:val="22"/>
          <w:szCs w:val="22"/>
          <w:lang w:val="en-GB"/>
        </w:rPr>
        <w:t xml:space="preserve"> the respondents had not provided the appellant with written terms of the tenancy.</w:t>
      </w:r>
    </w:p>
    <w:p w14:paraId="4AEE38BF" w14:textId="41F526A2" w:rsidR="004549A2" w:rsidRPr="00A176F1" w:rsidRDefault="00A176F1" w:rsidP="00C87869">
      <w:pPr>
        <w:spacing w:line="480" w:lineRule="auto"/>
        <w:ind w:left="1440" w:hanging="720"/>
        <w:rPr>
          <w:rFonts w:ascii="Palatino Linotype" w:hAnsi="Palatino Linotype" w:cs="Arial"/>
          <w:sz w:val="22"/>
          <w:szCs w:val="22"/>
          <w:lang w:val="en-GB"/>
        </w:rPr>
      </w:pPr>
      <w:r>
        <w:rPr>
          <w:rFonts w:ascii="Palatino Linotype" w:hAnsi="Palatino Linotype" w:cs="Arial"/>
          <w:sz w:val="22"/>
          <w:szCs w:val="22"/>
        </w:rPr>
        <w:t>b.</w:t>
      </w:r>
      <w:r>
        <w:rPr>
          <w:rFonts w:ascii="Palatino Linotype" w:hAnsi="Palatino Linotype" w:cs="Arial"/>
          <w:sz w:val="22"/>
          <w:szCs w:val="22"/>
        </w:rPr>
        <w:tab/>
      </w:r>
      <w:r w:rsidR="005C028A" w:rsidRPr="00A176F1">
        <w:rPr>
          <w:rFonts w:ascii="Palatino Linotype" w:hAnsi="Palatino Linotype" w:cs="Arial"/>
          <w:sz w:val="22"/>
          <w:szCs w:val="22"/>
        </w:rPr>
        <w:t xml:space="preserve">Finds in Fact and Law </w:t>
      </w:r>
      <w:r w:rsidR="00794F5B" w:rsidRPr="00A176F1">
        <w:rPr>
          <w:rFonts w:ascii="Palatino Linotype" w:hAnsi="Palatino Linotype" w:cs="Arial"/>
          <w:sz w:val="22"/>
          <w:szCs w:val="22"/>
        </w:rPr>
        <w:t>as follows.</w:t>
      </w:r>
    </w:p>
    <w:p w14:paraId="3003E36F" w14:textId="1E631C1F" w:rsidR="004549A2" w:rsidRPr="00C87869" w:rsidRDefault="00C87869" w:rsidP="00C87869">
      <w:pPr>
        <w:spacing w:line="480" w:lineRule="auto"/>
        <w:ind w:left="2160" w:hanging="720"/>
        <w:rPr>
          <w:rFonts w:ascii="Palatino Linotype" w:hAnsi="Palatino Linotype" w:cs="Arial"/>
          <w:sz w:val="22"/>
          <w:szCs w:val="22"/>
          <w:lang w:val="en-GB"/>
        </w:rPr>
      </w:pPr>
      <w:r>
        <w:rPr>
          <w:rFonts w:ascii="Palatino Linotype" w:hAnsi="Palatino Linotype" w:cs="Arial"/>
          <w:sz w:val="22"/>
          <w:szCs w:val="22"/>
        </w:rPr>
        <w:t>i</w:t>
      </w:r>
      <w:r w:rsidR="00A176F1" w:rsidRPr="00C87869">
        <w:rPr>
          <w:rFonts w:ascii="Palatino Linotype" w:hAnsi="Palatino Linotype" w:cs="Arial"/>
          <w:sz w:val="22"/>
          <w:szCs w:val="22"/>
        </w:rPr>
        <w:t>.</w:t>
      </w:r>
      <w:r w:rsidR="00A176F1" w:rsidRPr="00C87869">
        <w:rPr>
          <w:rFonts w:ascii="Palatino Linotype" w:hAnsi="Palatino Linotype" w:cs="Arial"/>
          <w:sz w:val="22"/>
          <w:szCs w:val="22"/>
        </w:rPr>
        <w:tab/>
      </w:r>
      <w:r w:rsidR="00135867" w:rsidRPr="00C87869">
        <w:rPr>
          <w:rFonts w:ascii="Palatino Linotype" w:hAnsi="Palatino Linotype" w:cs="Arial"/>
          <w:sz w:val="22"/>
          <w:szCs w:val="22"/>
        </w:rPr>
        <w:t>T</w:t>
      </w:r>
      <w:r w:rsidR="00F060C3" w:rsidRPr="00C87869">
        <w:rPr>
          <w:rFonts w:ascii="Palatino Linotype" w:hAnsi="Palatino Linotype" w:cs="Arial"/>
          <w:sz w:val="22"/>
          <w:szCs w:val="22"/>
        </w:rPr>
        <w:t xml:space="preserve">he </w:t>
      </w:r>
      <w:r w:rsidR="00B4178B" w:rsidRPr="00C87869">
        <w:rPr>
          <w:rFonts w:ascii="Palatino Linotype" w:hAnsi="Palatino Linotype"/>
          <w:sz w:val="22"/>
          <w:szCs w:val="22"/>
        </w:rPr>
        <w:t xml:space="preserve">appellant and the respondents entered into a lease on 1 </w:t>
      </w:r>
      <w:r w:rsidR="00B4178B" w:rsidRPr="00C87869">
        <w:rPr>
          <w:rFonts w:ascii="Palatino Linotype" w:hAnsi="Palatino Linotype" w:cs="Arial"/>
          <w:sz w:val="22"/>
          <w:szCs w:val="22"/>
          <w:lang w:val="en-GB"/>
        </w:rPr>
        <w:t xml:space="preserve">January 2018 in terms of which she was entitled to a one quarter </w:t>
      </w:r>
      <w:r w:rsidR="00B4178B" w:rsidRPr="00C87869">
        <w:rPr>
          <w:rFonts w:ascii="Palatino Linotype" w:hAnsi="Palatino Linotype" w:cs="Arial"/>
          <w:i/>
          <w:sz w:val="22"/>
          <w:szCs w:val="22"/>
          <w:lang w:val="en-GB"/>
        </w:rPr>
        <w:t>pro indiviso</w:t>
      </w:r>
      <w:r w:rsidR="00B4178B" w:rsidRPr="00C87869">
        <w:rPr>
          <w:rFonts w:ascii="Palatino Linotype" w:hAnsi="Palatino Linotype" w:cs="Arial"/>
          <w:sz w:val="22"/>
          <w:szCs w:val="22"/>
          <w:lang w:val="en-GB"/>
        </w:rPr>
        <w:t xml:space="preserve"> share of the flat at a rent of £350 per month. She was entitled to the exclusive occupation of a bedroom in the flat and to share other facilities in it</w:t>
      </w:r>
      <w:r w:rsidR="00CD37D3" w:rsidRPr="00C87869">
        <w:rPr>
          <w:rFonts w:ascii="Palatino Linotype" w:hAnsi="Palatino Linotype" w:cs="Arial"/>
          <w:sz w:val="22"/>
          <w:szCs w:val="22"/>
          <w:lang w:val="en-GB"/>
        </w:rPr>
        <w:t xml:space="preserve"> including the kitchen, a living room and a bathroom</w:t>
      </w:r>
      <w:r w:rsidR="00B4178B" w:rsidRPr="00C87869">
        <w:rPr>
          <w:rFonts w:ascii="Palatino Linotype" w:hAnsi="Palatino Linotype" w:cs="Arial"/>
          <w:sz w:val="22"/>
          <w:szCs w:val="22"/>
          <w:lang w:val="en-GB"/>
        </w:rPr>
        <w:t xml:space="preserve">. </w:t>
      </w:r>
      <w:r w:rsidR="00CD37D3" w:rsidRPr="00C87869">
        <w:rPr>
          <w:rFonts w:ascii="Palatino Linotype" w:hAnsi="Palatino Linotype" w:cs="Arial"/>
          <w:sz w:val="22"/>
          <w:szCs w:val="22"/>
          <w:lang w:val="en-GB"/>
        </w:rPr>
        <w:t xml:space="preserve">The subjects of the lease were that one quarter </w:t>
      </w:r>
      <w:r w:rsidR="00CD37D3" w:rsidRPr="00C87869">
        <w:rPr>
          <w:rFonts w:ascii="Palatino Linotype" w:hAnsi="Palatino Linotype" w:cs="Arial"/>
          <w:i/>
          <w:sz w:val="22"/>
          <w:szCs w:val="22"/>
          <w:lang w:val="en-GB"/>
        </w:rPr>
        <w:t>pro indiviso</w:t>
      </w:r>
      <w:r w:rsidR="00CD37D3" w:rsidRPr="00C87869">
        <w:rPr>
          <w:rFonts w:ascii="Palatino Linotype" w:hAnsi="Palatino Linotype" w:cs="Arial"/>
          <w:sz w:val="22"/>
          <w:szCs w:val="22"/>
          <w:lang w:val="en-GB"/>
        </w:rPr>
        <w:t xml:space="preserve"> share of the flat. </w:t>
      </w:r>
    </w:p>
    <w:p w14:paraId="4CE922FD" w14:textId="393EB590" w:rsidR="009A5EC6" w:rsidRPr="00C87869" w:rsidRDefault="00C87869" w:rsidP="00C87869">
      <w:pPr>
        <w:spacing w:line="480" w:lineRule="auto"/>
        <w:ind w:left="2160" w:hanging="720"/>
        <w:rPr>
          <w:rFonts w:ascii="Palatino Linotype" w:hAnsi="Palatino Linotype" w:cs="Arial"/>
          <w:sz w:val="22"/>
          <w:szCs w:val="22"/>
          <w:lang w:val="en-GB"/>
        </w:rPr>
      </w:pPr>
      <w:r>
        <w:rPr>
          <w:rFonts w:ascii="Palatino Linotype" w:hAnsi="Palatino Linotype" w:cs="Arial"/>
          <w:sz w:val="22"/>
          <w:szCs w:val="22"/>
          <w:lang w:val="en-GB"/>
        </w:rPr>
        <w:t>ii</w:t>
      </w:r>
      <w:r w:rsidR="00A176F1" w:rsidRPr="00C87869">
        <w:rPr>
          <w:rFonts w:ascii="Palatino Linotype" w:hAnsi="Palatino Linotype" w:cs="Arial"/>
          <w:sz w:val="22"/>
          <w:szCs w:val="22"/>
          <w:lang w:val="en-GB"/>
        </w:rPr>
        <w:t>.</w:t>
      </w:r>
      <w:r w:rsidR="00A176F1" w:rsidRPr="00C87869">
        <w:rPr>
          <w:rFonts w:ascii="Palatino Linotype" w:hAnsi="Palatino Linotype" w:cs="Arial"/>
          <w:sz w:val="22"/>
          <w:szCs w:val="22"/>
          <w:lang w:val="en-GB"/>
        </w:rPr>
        <w:tab/>
      </w:r>
      <w:r w:rsidR="009A5EC6" w:rsidRPr="00C87869">
        <w:rPr>
          <w:rFonts w:ascii="Palatino Linotype" w:hAnsi="Palatino Linotype" w:cs="Arial"/>
          <w:sz w:val="22"/>
          <w:szCs w:val="22"/>
          <w:lang w:val="en-GB"/>
        </w:rPr>
        <w:t xml:space="preserve">The main purpose of the ease was to provide the appellant with a home. </w:t>
      </w:r>
    </w:p>
    <w:p w14:paraId="2038F051" w14:textId="51878D29" w:rsidR="00F060C3" w:rsidRPr="00C87869" w:rsidRDefault="00C87869" w:rsidP="00C87869">
      <w:pPr>
        <w:spacing w:line="480" w:lineRule="auto"/>
        <w:ind w:left="2160" w:hanging="720"/>
        <w:rPr>
          <w:rFonts w:ascii="Palatino Linotype" w:hAnsi="Palatino Linotype" w:cs="Arial"/>
          <w:sz w:val="22"/>
          <w:szCs w:val="22"/>
          <w:lang w:val="en-GB"/>
        </w:rPr>
      </w:pPr>
      <w:r>
        <w:rPr>
          <w:rFonts w:ascii="Palatino Linotype" w:hAnsi="Palatino Linotype"/>
          <w:sz w:val="22"/>
          <w:szCs w:val="22"/>
        </w:rPr>
        <w:t>iii</w:t>
      </w:r>
      <w:r w:rsidR="00A176F1" w:rsidRPr="00C87869">
        <w:rPr>
          <w:rFonts w:ascii="Palatino Linotype" w:hAnsi="Palatino Linotype"/>
          <w:sz w:val="22"/>
          <w:szCs w:val="22"/>
        </w:rPr>
        <w:t>.</w:t>
      </w:r>
      <w:r w:rsidR="00A176F1" w:rsidRPr="00C87869">
        <w:rPr>
          <w:rFonts w:ascii="Palatino Linotype" w:hAnsi="Palatino Linotype"/>
          <w:sz w:val="22"/>
          <w:szCs w:val="22"/>
        </w:rPr>
        <w:tab/>
      </w:r>
      <w:r w:rsidR="004549A2" w:rsidRPr="00C87869">
        <w:rPr>
          <w:rFonts w:ascii="Palatino Linotype" w:hAnsi="Palatino Linotype"/>
          <w:sz w:val="22"/>
          <w:szCs w:val="22"/>
        </w:rPr>
        <w:t xml:space="preserve">The lease entered into by the parties is a </w:t>
      </w:r>
      <w:r w:rsidR="004549A2" w:rsidRPr="00C87869">
        <w:rPr>
          <w:rFonts w:ascii="Palatino Linotype" w:hAnsi="Palatino Linotype" w:cs="Arial"/>
          <w:sz w:val="22"/>
          <w:szCs w:val="22"/>
          <w:lang w:val="en-GB"/>
        </w:rPr>
        <w:t>Private Residential Tenancy in terms of the Private Housing (Tenancies) (Scotland) Act 2016</w:t>
      </w:r>
      <w:r w:rsidR="00F93D0A" w:rsidRPr="00C87869">
        <w:rPr>
          <w:rFonts w:ascii="Palatino Linotype" w:hAnsi="Palatino Linotype" w:cs="Arial"/>
          <w:sz w:val="22"/>
          <w:szCs w:val="22"/>
          <w:lang w:val="en-GB"/>
        </w:rPr>
        <w:t xml:space="preserve"> (“the 2016 Act”)</w:t>
      </w:r>
      <w:r w:rsidR="00794F5B" w:rsidRPr="00C87869">
        <w:rPr>
          <w:rFonts w:ascii="Palatino Linotype" w:hAnsi="Palatino Linotype" w:cs="Arial"/>
          <w:sz w:val="22"/>
          <w:szCs w:val="22"/>
        </w:rPr>
        <w:t>.</w:t>
      </w:r>
      <w:r w:rsidR="00F9352A" w:rsidRPr="00C87869">
        <w:rPr>
          <w:rFonts w:ascii="Palatino Linotype" w:hAnsi="Palatino Linotype" w:cs="Arial"/>
          <w:sz w:val="22"/>
          <w:szCs w:val="22"/>
        </w:rPr>
        <w:t xml:space="preserve"> </w:t>
      </w:r>
    </w:p>
    <w:p w14:paraId="479121B8" w14:textId="3C1833DD" w:rsidR="00E92AC0" w:rsidRPr="00C87869" w:rsidRDefault="00C87869" w:rsidP="00C87869">
      <w:pPr>
        <w:spacing w:line="480" w:lineRule="auto"/>
        <w:ind w:left="2160" w:hanging="720"/>
        <w:rPr>
          <w:rFonts w:ascii="Palatino Linotype" w:hAnsi="Palatino Linotype" w:cs="Arial"/>
          <w:sz w:val="22"/>
          <w:szCs w:val="22"/>
          <w:lang w:val="en-GB"/>
        </w:rPr>
      </w:pPr>
      <w:r>
        <w:rPr>
          <w:rFonts w:ascii="Palatino Linotype" w:hAnsi="Palatino Linotype" w:cs="Arial"/>
          <w:sz w:val="22"/>
          <w:szCs w:val="22"/>
          <w:lang w:val="en-GB"/>
        </w:rPr>
        <w:t>iv</w:t>
      </w:r>
      <w:r w:rsidR="00A176F1" w:rsidRPr="00C87869">
        <w:rPr>
          <w:rFonts w:ascii="Palatino Linotype" w:hAnsi="Palatino Linotype" w:cs="Arial"/>
          <w:sz w:val="22"/>
          <w:szCs w:val="22"/>
          <w:lang w:val="en-GB"/>
        </w:rPr>
        <w:t>.</w:t>
      </w:r>
      <w:r w:rsidR="00A176F1" w:rsidRPr="00C87869">
        <w:rPr>
          <w:rFonts w:ascii="Palatino Linotype" w:hAnsi="Palatino Linotype" w:cs="Arial"/>
          <w:sz w:val="22"/>
          <w:szCs w:val="22"/>
          <w:lang w:val="en-GB"/>
        </w:rPr>
        <w:tab/>
      </w:r>
      <w:r w:rsidR="00F9352A" w:rsidRPr="00C87869">
        <w:rPr>
          <w:rFonts w:ascii="Palatino Linotype" w:hAnsi="Palatino Linotype" w:cs="Arial"/>
          <w:sz w:val="22"/>
          <w:szCs w:val="22"/>
          <w:lang w:val="en-GB"/>
        </w:rPr>
        <w:t>T</w:t>
      </w:r>
      <w:r w:rsidR="00E92AC0" w:rsidRPr="00C87869">
        <w:rPr>
          <w:rFonts w:ascii="Palatino Linotype" w:hAnsi="Palatino Linotype" w:cs="Arial"/>
          <w:sz w:val="22"/>
          <w:szCs w:val="22"/>
          <w:lang w:val="en-GB"/>
        </w:rPr>
        <w:t xml:space="preserve">he respondents </w:t>
      </w:r>
      <w:r w:rsidR="00F9352A" w:rsidRPr="00C87869">
        <w:rPr>
          <w:rFonts w:ascii="Palatino Linotype" w:hAnsi="Palatino Linotype" w:cs="Arial"/>
          <w:sz w:val="22"/>
          <w:szCs w:val="22"/>
          <w:lang w:val="en-GB"/>
        </w:rPr>
        <w:t>breach</w:t>
      </w:r>
      <w:r w:rsidR="00E92AC0" w:rsidRPr="00C87869">
        <w:rPr>
          <w:rFonts w:ascii="Palatino Linotype" w:hAnsi="Palatino Linotype" w:cs="Arial"/>
          <w:sz w:val="22"/>
          <w:szCs w:val="22"/>
          <w:lang w:val="en-GB"/>
        </w:rPr>
        <w:t>ed</w:t>
      </w:r>
      <w:r w:rsidR="008A1BB3" w:rsidRPr="00C87869">
        <w:rPr>
          <w:rFonts w:ascii="Palatino Linotype" w:hAnsi="Palatino Linotype" w:cs="Arial"/>
          <w:sz w:val="22"/>
          <w:szCs w:val="22"/>
          <w:lang w:val="en-GB"/>
        </w:rPr>
        <w:t xml:space="preserve"> </w:t>
      </w:r>
      <w:r w:rsidR="00F9352A" w:rsidRPr="00C87869">
        <w:rPr>
          <w:rFonts w:ascii="Palatino Linotype" w:hAnsi="Palatino Linotype" w:cs="Arial"/>
          <w:sz w:val="22"/>
          <w:szCs w:val="22"/>
          <w:lang w:val="en-GB"/>
        </w:rPr>
        <w:t>their duty under section 10 of the 2016 Act</w:t>
      </w:r>
      <w:r w:rsidR="00E92AC0" w:rsidRPr="00C87869">
        <w:rPr>
          <w:rFonts w:ascii="Palatino Linotype" w:hAnsi="Palatino Linotype" w:cs="Arial"/>
          <w:sz w:val="22"/>
          <w:szCs w:val="22"/>
          <w:lang w:val="en-GB"/>
        </w:rPr>
        <w:t xml:space="preserve"> to provide terms of the tenancy</w:t>
      </w:r>
      <w:r w:rsidR="008A1BB3" w:rsidRPr="00C87869">
        <w:rPr>
          <w:rFonts w:ascii="Palatino Linotype" w:hAnsi="Palatino Linotype" w:cs="Arial"/>
          <w:sz w:val="22"/>
          <w:szCs w:val="22"/>
          <w:lang w:val="en-GB"/>
        </w:rPr>
        <w:t xml:space="preserve"> to the appellant</w:t>
      </w:r>
      <w:r w:rsidR="00E92AC0" w:rsidRPr="00C87869">
        <w:rPr>
          <w:rFonts w:ascii="Palatino Linotype" w:hAnsi="Palatino Linotype" w:cs="Arial"/>
          <w:sz w:val="22"/>
          <w:szCs w:val="22"/>
          <w:lang w:val="en-GB"/>
        </w:rPr>
        <w:t xml:space="preserve">. </w:t>
      </w:r>
    </w:p>
    <w:p w14:paraId="1B849150" w14:textId="4643244B" w:rsidR="00F9352A" w:rsidRPr="00C87869" w:rsidRDefault="00C87869" w:rsidP="00C87869">
      <w:pPr>
        <w:spacing w:line="480" w:lineRule="auto"/>
        <w:ind w:left="2160" w:hanging="720"/>
        <w:rPr>
          <w:rFonts w:ascii="Palatino Linotype" w:hAnsi="Palatino Linotype" w:cs="Arial"/>
          <w:sz w:val="22"/>
          <w:szCs w:val="22"/>
          <w:lang w:val="en-GB"/>
        </w:rPr>
      </w:pPr>
      <w:r>
        <w:rPr>
          <w:rFonts w:ascii="Palatino Linotype" w:hAnsi="Palatino Linotype" w:cs="Arial"/>
          <w:sz w:val="22"/>
          <w:szCs w:val="22"/>
          <w:lang w:val="en-GB"/>
        </w:rPr>
        <w:t>v</w:t>
      </w:r>
      <w:r w:rsidR="00A176F1" w:rsidRPr="00C87869">
        <w:rPr>
          <w:rFonts w:ascii="Palatino Linotype" w:hAnsi="Palatino Linotype" w:cs="Arial"/>
          <w:sz w:val="22"/>
          <w:szCs w:val="22"/>
          <w:lang w:val="en-GB"/>
        </w:rPr>
        <w:t>.</w:t>
      </w:r>
      <w:r w:rsidR="00A176F1" w:rsidRPr="00C87869">
        <w:rPr>
          <w:rFonts w:ascii="Palatino Linotype" w:hAnsi="Palatino Linotype" w:cs="Arial"/>
          <w:sz w:val="22"/>
          <w:szCs w:val="22"/>
          <w:lang w:val="en-GB"/>
        </w:rPr>
        <w:tab/>
      </w:r>
      <w:r w:rsidR="00E92AC0" w:rsidRPr="00C87869">
        <w:rPr>
          <w:rFonts w:ascii="Palatino Linotype" w:hAnsi="Palatino Linotype" w:cs="Arial"/>
          <w:sz w:val="22"/>
          <w:szCs w:val="22"/>
          <w:lang w:val="en-GB"/>
        </w:rPr>
        <w:t xml:space="preserve">The respondents </w:t>
      </w:r>
      <w:r w:rsidR="00F9352A" w:rsidRPr="00C87869">
        <w:rPr>
          <w:rFonts w:ascii="Palatino Linotype" w:hAnsi="Palatino Linotype" w:cs="Arial"/>
          <w:sz w:val="22"/>
          <w:szCs w:val="22"/>
          <w:lang w:val="en-GB"/>
        </w:rPr>
        <w:t>complied with their duty under section 11 of the 2016 Act.</w:t>
      </w:r>
    </w:p>
    <w:p w14:paraId="0F866925" w14:textId="52C0422F" w:rsidR="00F9352A" w:rsidRPr="00C87869" w:rsidRDefault="00C87869" w:rsidP="00C87869">
      <w:pPr>
        <w:spacing w:line="480" w:lineRule="auto"/>
        <w:ind w:left="2160" w:hanging="720"/>
        <w:rPr>
          <w:rFonts w:ascii="Palatino Linotype" w:hAnsi="Palatino Linotype" w:cs="Arial"/>
          <w:sz w:val="22"/>
          <w:szCs w:val="22"/>
          <w:lang w:val="en-GB"/>
        </w:rPr>
      </w:pPr>
      <w:r>
        <w:rPr>
          <w:rFonts w:ascii="Palatino Linotype" w:hAnsi="Palatino Linotype" w:cs="Arial"/>
          <w:sz w:val="22"/>
          <w:szCs w:val="22"/>
          <w:lang w:val="en-GB"/>
        </w:rPr>
        <w:t>vi</w:t>
      </w:r>
      <w:r w:rsidR="00A176F1" w:rsidRPr="00C87869">
        <w:rPr>
          <w:rFonts w:ascii="Palatino Linotype" w:hAnsi="Palatino Linotype" w:cs="Arial"/>
          <w:sz w:val="22"/>
          <w:szCs w:val="22"/>
          <w:lang w:val="en-GB"/>
        </w:rPr>
        <w:t>.</w:t>
      </w:r>
      <w:r w:rsidR="00A176F1" w:rsidRPr="00C87869">
        <w:rPr>
          <w:rFonts w:ascii="Palatino Linotype" w:hAnsi="Palatino Linotype" w:cs="Arial"/>
          <w:sz w:val="22"/>
          <w:szCs w:val="22"/>
          <w:lang w:val="en-GB"/>
        </w:rPr>
        <w:tab/>
      </w:r>
      <w:r w:rsidR="00F9352A" w:rsidRPr="00C87869">
        <w:rPr>
          <w:rFonts w:ascii="Palatino Linotype" w:hAnsi="Palatino Linotype" w:cs="Arial"/>
          <w:sz w:val="22"/>
          <w:szCs w:val="22"/>
          <w:lang w:val="en-GB"/>
        </w:rPr>
        <w:t xml:space="preserve">The respondents had no reasonable excuse </w:t>
      </w:r>
      <w:r w:rsidR="00F9352A" w:rsidRPr="00C87869">
        <w:rPr>
          <w:rFonts w:ascii="Palatino Linotype" w:hAnsi="Palatino Linotype" w:cs="Arial"/>
          <w:sz w:val="22"/>
          <w:szCs w:val="22"/>
        </w:rPr>
        <w:t xml:space="preserve">for the purposes of section 16(1) (c) of the 2016 Act </w:t>
      </w:r>
      <w:r w:rsidR="00F9352A" w:rsidRPr="00C87869">
        <w:rPr>
          <w:rFonts w:ascii="Palatino Linotype" w:hAnsi="Palatino Linotype" w:cs="Arial"/>
          <w:sz w:val="22"/>
          <w:szCs w:val="22"/>
          <w:lang w:val="en-GB"/>
        </w:rPr>
        <w:t>for their failure to comply with their duty under section 10 of the 2016 Act.</w:t>
      </w:r>
    </w:p>
    <w:p w14:paraId="6CE6F64E" w14:textId="067788EE" w:rsidR="00F9352A" w:rsidRPr="00C87869" w:rsidRDefault="00C87869" w:rsidP="00C87869">
      <w:pPr>
        <w:spacing w:line="480" w:lineRule="auto"/>
        <w:ind w:left="2160" w:hanging="720"/>
        <w:rPr>
          <w:rFonts w:ascii="Palatino Linotype" w:hAnsi="Palatino Linotype" w:cs="Arial"/>
          <w:sz w:val="22"/>
          <w:szCs w:val="22"/>
          <w:lang w:val="en-GB"/>
        </w:rPr>
      </w:pPr>
      <w:r>
        <w:rPr>
          <w:rFonts w:ascii="Palatino Linotype" w:hAnsi="Palatino Linotype" w:cs="Arial"/>
          <w:sz w:val="22"/>
          <w:szCs w:val="22"/>
          <w:lang w:val="en-GB"/>
        </w:rPr>
        <w:t>vii</w:t>
      </w:r>
      <w:r w:rsidR="00A176F1" w:rsidRPr="00C87869">
        <w:rPr>
          <w:rFonts w:ascii="Palatino Linotype" w:hAnsi="Palatino Linotype" w:cs="Arial"/>
          <w:sz w:val="22"/>
          <w:szCs w:val="22"/>
          <w:lang w:val="en-GB"/>
        </w:rPr>
        <w:t>.</w:t>
      </w:r>
      <w:r w:rsidR="00A176F1" w:rsidRPr="00C87869">
        <w:rPr>
          <w:rFonts w:ascii="Palatino Linotype" w:hAnsi="Palatino Linotype" w:cs="Arial"/>
          <w:sz w:val="22"/>
          <w:szCs w:val="22"/>
          <w:lang w:val="en-GB"/>
        </w:rPr>
        <w:tab/>
      </w:r>
      <w:r w:rsidR="00F9352A" w:rsidRPr="00C87869">
        <w:rPr>
          <w:rFonts w:ascii="Palatino Linotype" w:hAnsi="Palatino Linotype" w:cs="Arial"/>
          <w:sz w:val="22"/>
          <w:szCs w:val="22"/>
          <w:lang w:val="en-GB"/>
        </w:rPr>
        <w:t>It is appropriate to make an award for payment by the respondents in favour of the appellant in respect of that failure</w:t>
      </w:r>
      <w:r w:rsidR="00F9352A" w:rsidRPr="00C87869">
        <w:rPr>
          <w:rFonts w:ascii="Palatino Linotype" w:hAnsi="Palatino Linotype" w:cs="Arial"/>
          <w:sz w:val="22"/>
          <w:szCs w:val="22"/>
        </w:rPr>
        <w:t xml:space="preserve"> in terms of section 16(2)(a) of the 2016 Act</w:t>
      </w:r>
      <w:r w:rsidR="00F9352A" w:rsidRPr="00C87869">
        <w:rPr>
          <w:rFonts w:ascii="Palatino Linotype" w:hAnsi="Palatino Linotype" w:cs="Arial"/>
          <w:sz w:val="22"/>
          <w:szCs w:val="22"/>
          <w:lang w:val="en-GB"/>
        </w:rPr>
        <w:t xml:space="preserve">. </w:t>
      </w:r>
    </w:p>
    <w:p w14:paraId="58DFE45D" w14:textId="0092703D" w:rsidR="00144C2D" w:rsidRPr="008F7224" w:rsidRDefault="008F7224" w:rsidP="008F7224">
      <w:pPr>
        <w:spacing w:line="480" w:lineRule="auto"/>
        <w:rPr>
          <w:rFonts w:ascii="Palatino Linotype" w:hAnsi="Palatino Linotype" w:cs="Arial"/>
          <w:sz w:val="22"/>
          <w:szCs w:val="22"/>
        </w:rPr>
      </w:pPr>
      <w:r w:rsidRPr="008F7224">
        <w:rPr>
          <w:rFonts w:ascii="Palatino Linotype" w:hAnsi="Palatino Linotype" w:cs="Arial"/>
          <w:sz w:val="22"/>
          <w:szCs w:val="22"/>
        </w:rPr>
        <w:t>3.</w:t>
      </w:r>
      <w:r w:rsidRPr="008F7224">
        <w:rPr>
          <w:rFonts w:ascii="Palatino Linotype" w:hAnsi="Palatino Linotype" w:cs="Arial"/>
          <w:sz w:val="22"/>
          <w:szCs w:val="22"/>
        </w:rPr>
        <w:tab/>
      </w:r>
      <w:r w:rsidR="00F9352A" w:rsidRPr="008F7224">
        <w:rPr>
          <w:rFonts w:ascii="Palatino Linotype" w:hAnsi="Palatino Linotype" w:cs="Arial"/>
          <w:sz w:val="22"/>
          <w:szCs w:val="22"/>
        </w:rPr>
        <w:t>M</w:t>
      </w:r>
      <w:r w:rsidR="00F9352A" w:rsidRPr="008F7224">
        <w:rPr>
          <w:rFonts w:ascii="Palatino Linotype" w:hAnsi="Palatino Linotype" w:cs="Arial"/>
          <w:sz w:val="22"/>
          <w:szCs w:val="22"/>
          <w:lang w:val="en-GB"/>
        </w:rPr>
        <w:t>akes an award for payment by the respondents in favour of the appellant in the sum of SEVEN HUNDRED POU</w:t>
      </w:r>
      <w:r w:rsidR="00E92AC0" w:rsidRPr="008F7224">
        <w:rPr>
          <w:rFonts w:ascii="Palatino Linotype" w:hAnsi="Palatino Linotype" w:cs="Arial"/>
          <w:sz w:val="22"/>
          <w:szCs w:val="22"/>
          <w:lang w:val="en-GB"/>
        </w:rPr>
        <w:t>NDS (£700.00)</w:t>
      </w:r>
      <w:r w:rsidR="005B243B" w:rsidRPr="008F7224">
        <w:rPr>
          <w:rFonts w:ascii="Palatino Linotype" w:hAnsi="Palatino Linotype" w:cs="Arial"/>
          <w:sz w:val="22"/>
          <w:szCs w:val="22"/>
        </w:rPr>
        <w:t xml:space="preserve">, </w:t>
      </w:r>
      <w:r w:rsidR="00F9352A" w:rsidRPr="008F7224">
        <w:rPr>
          <w:rFonts w:ascii="Palatino Linotype" w:hAnsi="Palatino Linotype" w:cs="Arial"/>
          <w:sz w:val="22"/>
          <w:szCs w:val="22"/>
        </w:rPr>
        <w:t xml:space="preserve">Orders the respondents to make payment to her within </w:t>
      </w:r>
      <w:r w:rsidR="008A1BB3" w:rsidRPr="008F7224">
        <w:rPr>
          <w:rFonts w:ascii="Palatino Linotype" w:hAnsi="Palatino Linotype" w:cs="Arial"/>
          <w:sz w:val="22"/>
          <w:szCs w:val="22"/>
        </w:rPr>
        <w:t>4</w:t>
      </w:r>
      <w:r w:rsidR="001309D5" w:rsidRPr="008F7224">
        <w:rPr>
          <w:rFonts w:ascii="Palatino Linotype" w:hAnsi="Palatino Linotype" w:cs="Arial"/>
          <w:sz w:val="22"/>
          <w:szCs w:val="22"/>
        </w:rPr>
        <w:t>0</w:t>
      </w:r>
      <w:r w:rsidR="00F9352A" w:rsidRPr="008F7224">
        <w:rPr>
          <w:rFonts w:ascii="Palatino Linotype" w:hAnsi="Palatino Linotype" w:cs="Arial"/>
          <w:sz w:val="22"/>
          <w:szCs w:val="22"/>
        </w:rPr>
        <w:t xml:space="preserve"> days of the </w:t>
      </w:r>
      <w:r w:rsidR="001309D5" w:rsidRPr="008F7224">
        <w:rPr>
          <w:rFonts w:ascii="Palatino Linotype" w:hAnsi="Palatino Linotype" w:cs="Arial"/>
          <w:sz w:val="22"/>
          <w:szCs w:val="22"/>
        </w:rPr>
        <w:t xml:space="preserve">date of </w:t>
      </w:r>
      <w:r w:rsidR="00F9352A" w:rsidRPr="008F7224">
        <w:rPr>
          <w:rFonts w:ascii="Palatino Linotype" w:hAnsi="Palatino Linotype" w:cs="Arial"/>
          <w:sz w:val="22"/>
          <w:szCs w:val="22"/>
        </w:rPr>
        <w:t>inti</w:t>
      </w:r>
      <w:r w:rsidR="005B243B" w:rsidRPr="008F7224">
        <w:rPr>
          <w:rFonts w:ascii="Palatino Linotype" w:hAnsi="Palatino Linotype" w:cs="Arial"/>
          <w:sz w:val="22"/>
          <w:szCs w:val="22"/>
        </w:rPr>
        <w:t>mation of this decision to them and Declares that each of the first and second named respondents against whom the Order for payment is made is jointly and severally liable for the whole amount</w:t>
      </w:r>
      <w:r w:rsidR="001E1A78" w:rsidRPr="008F7224">
        <w:rPr>
          <w:rFonts w:ascii="Palatino Linotype" w:hAnsi="Palatino Linotype" w:cs="Arial"/>
          <w:sz w:val="22"/>
          <w:szCs w:val="22"/>
        </w:rPr>
        <w:t xml:space="preserve"> due.</w:t>
      </w:r>
    </w:p>
    <w:p w14:paraId="220DDAAF" w14:textId="77777777" w:rsidR="001E1A78" w:rsidRDefault="001E1A78" w:rsidP="008F7224">
      <w:pPr>
        <w:spacing w:line="480" w:lineRule="auto"/>
        <w:rPr>
          <w:rFonts w:ascii="Palatino Linotype" w:hAnsi="Palatino Linotype" w:cs="Arial"/>
          <w:b/>
          <w:sz w:val="22"/>
          <w:szCs w:val="22"/>
        </w:rPr>
      </w:pPr>
    </w:p>
    <w:p w14:paraId="1F0CFB31" w14:textId="77777777" w:rsidR="00441758" w:rsidRPr="0050354E" w:rsidRDefault="00670BA1" w:rsidP="008F7224">
      <w:pPr>
        <w:keepNext/>
        <w:spacing w:line="480" w:lineRule="auto"/>
        <w:rPr>
          <w:rFonts w:ascii="Palatino Linotype" w:hAnsi="Palatino Linotype" w:cs="Arial"/>
          <w:b/>
          <w:sz w:val="22"/>
          <w:szCs w:val="22"/>
        </w:rPr>
      </w:pPr>
      <w:r w:rsidRPr="0050354E">
        <w:rPr>
          <w:rFonts w:ascii="Palatino Linotype" w:hAnsi="Palatino Linotype" w:cs="Arial"/>
          <w:b/>
          <w:sz w:val="22"/>
          <w:szCs w:val="22"/>
        </w:rPr>
        <w:t>N</w:t>
      </w:r>
      <w:r w:rsidR="00CD37D3" w:rsidRPr="0050354E">
        <w:rPr>
          <w:rFonts w:ascii="Palatino Linotype" w:hAnsi="Palatino Linotype" w:cs="Arial"/>
          <w:b/>
          <w:sz w:val="22"/>
          <w:szCs w:val="22"/>
        </w:rPr>
        <w:t xml:space="preserve">ote of </w:t>
      </w:r>
      <w:r w:rsidR="00A42411" w:rsidRPr="0050354E">
        <w:rPr>
          <w:rFonts w:ascii="Palatino Linotype" w:hAnsi="Palatino Linotype" w:cs="Arial"/>
          <w:b/>
          <w:sz w:val="22"/>
          <w:szCs w:val="22"/>
        </w:rPr>
        <w:t>R</w:t>
      </w:r>
      <w:r w:rsidR="00CD37D3" w:rsidRPr="0050354E">
        <w:rPr>
          <w:rFonts w:ascii="Palatino Linotype" w:hAnsi="Palatino Linotype" w:cs="Arial"/>
          <w:b/>
          <w:sz w:val="22"/>
          <w:szCs w:val="22"/>
        </w:rPr>
        <w:t>easons</w:t>
      </w:r>
      <w:r w:rsidR="00A42411" w:rsidRPr="0050354E">
        <w:rPr>
          <w:rFonts w:ascii="Palatino Linotype" w:hAnsi="Palatino Linotype" w:cs="Arial"/>
          <w:b/>
          <w:sz w:val="22"/>
          <w:szCs w:val="22"/>
        </w:rPr>
        <w:t xml:space="preserve"> </w:t>
      </w:r>
      <w:r w:rsidR="00CD37D3" w:rsidRPr="0050354E">
        <w:rPr>
          <w:rFonts w:ascii="Palatino Linotype" w:hAnsi="Palatino Linotype" w:cs="Arial"/>
          <w:b/>
          <w:sz w:val="22"/>
          <w:szCs w:val="22"/>
        </w:rPr>
        <w:t xml:space="preserve">for </w:t>
      </w:r>
      <w:r w:rsidR="00A42411" w:rsidRPr="0050354E">
        <w:rPr>
          <w:rFonts w:ascii="Palatino Linotype" w:hAnsi="Palatino Linotype" w:cs="Arial"/>
          <w:b/>
          <w:sz w:val="22"/>
          <w:szCs w:val="22"/>
        </w:rPr>
        <w:t>D</w:t>
      </w:r>
      <w:r w:rsidR="00CD37D3" w:rsidRPr="0050354E">
        <w:rPr>
          <w:rFonts w:ascii="Palatino Linotype" w:hAnsi="Palatino Linotype" w:cs="Arial"/>
          <w:b/>
          <w:sz w:val="22"/>
          <w:szCs w:val="22"/>
        </w:rPr>
        <w:t>ecision</w:t>
      </w:r>
    </w:p>
    <w:p w14:paraId="500D55D9" w14:textId="398DFC38" w:rsidR="00CD37D3" w:rsidRPr="0050354E" w:rsidRDefault="00F27A74"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sz w:val="22"/>
          <w:szCs w:val="22"/>
        </w:rPr>
        <w:t>In</w:t>
      </w:r>
      <w:r w:rsidRPr="0050354E">
        <w:rPr>
          <w:rFonts w:ascii="Palatino Linotype" w:hAnsi="Palatino Linotype" w:cs="Arial"/>
          <w:sz w:val="22"/>
          <w:szCs w:val="22"/>
        </w:rPr>
        <w:t xml:space="preserve"> this Note </w:t>
      </w:r>
      <w:r w:rsidR="00D36FF8" w:rsidRPr="0050354E">
        <w:rPr>
          <w:rFonts w:ascii="Palatino Linotype" w:hAnsi="Palatino Linotype" w:cs="Arial"/>
          <w:sz w:val="22"/>
          <w:szCs w:val="22"/>
        </w:rPr>
        <w:t xml:space="preserve">the First-tier Tribunal for Scotland is </w:t>
      </w:r>
      <w:r w:rsidRPr="0050354E">
        <w:rPr>
          <w:rFonts w:ascii="Palatino Linotype" w:hAnsi="Palatino Linotype" w:cs="Arial"/>
          <w:sz w:val="22"/>
          <w:szCs w:val="22"/>
        </w:rPr>
        <w:t xml:space="preserve">referred to as “the </w:t>
      </w:r>
      <w:r w:rsidR="00D36FF8" w:rsidRPr="0050354E">
        <w:rPr>
          <w:rFonts w:ascii="Palatino Linotype" w:hAnsi="Palatino Linotype" w:cs="Arial"/>
          <w:sz w:val="22"/>
          <w:szCs w:val="22"/>
        </w:rPr>
        <w:t>FtT</w:t>
      </w:r>
      <w:r w:rsidR="0090065F" w:rsidRPr="0050354E">
        <w:rPr>
          <w:rFonts w:ascii="Palatino Linotype" w:hAnsi="Palatino Linotype" w:cs="Arial"/>
          <w:sz w:val="22"/>
          <w:szCs w:val="22"/>
        </w:rPr>
        <w:t>”</w:t>
      </w:r>
      <w:r w:rsidR="00441758" w:rsidRPr="0050354E">
        <w:rPr>
          <w:rFonts w:ascii="Palatino Linotype" w:hAnsi="Palatino Linotype" w:cs="Arial"/>
          <w:sz w:val="22"/>
          <w:szCs w:val="22"/>
        </w:rPr>
        <w:t xml:space="preserve">. </w:t>
      </w:r>
      <w:r w:rsidR="005B243B">
        <w:rPr>
          <w:rFonts w:ascii="Palatino Linotype" w:hAnsi="Palatino Linotype" w:cs="Arial"/>
          <w:sz w:val="22"/>
          <w:szCs w:val="22"/>
        </w:rPr>
        <w:t xml:space="preserve">A </w:t>
      </w:r>
      <w:r w:rsidR="005B243B" w:rsidRPr="0050354E">
        <w:rPr>
          <w:rFonts w:ascii="Palatino Linotype" w:hAnsi="Palatino Linotype" w:cs="Arial"/>
          <w:sz w:val="22"/>
          <w:szCs w:val="22"/>
        </w:rPr>
        <w:t>Private Residential Tenancy</w:t>
      </w:r>
      <w:r w:rsidR="00FA34F3">
        <w:rPr>
          <w:rFonts w:ascii="Palatino Linotype" w:hAnsi="Palatino Linotype" w:cs="Arial"/>
          <w:sz w:val="22"/>
          <w:szCs w:val="22"/>
        </w:rPr>
        <w:t xml:space="preserve"> made under </w:t>
      </w:r>
      <w:r w:rsidR="00FA34F3" w:rsidRPr="0050354E">
        <w:rPr>
          <w:rFonts w:ascii="Palatino Linotype" w:hAnsi="Palatino Linotype" w:cs="Arial"/>
          <w:sz w:val="22"/>
          <w:szCs w:val="22"/>
        </w:rPr>
        <w:t>Private Housing (Tenancies) (Scotland) Act 2016</w:t>
      </w:r>
      <w:r w:rsidR="00FA34F3">
        <w:rPr>
          <w:rFonts w:ascii="Palatino Linotype" w:hAnsi="Palatino Linotype" w:cs="Arial"/>
          <w:sz w:val="22"/>
          <w:szCs w:val="22"/>
        </w:rPr>
        <w:t xml:space="preserve"> is referred to as a “PRT” and the Act itself is referred to as “the 2016 Act”. The appellant made an application to the FtT for findings that the respondents had breached statutory obligations to provide </w:t>
      </w:r>
      <w:r w:rsidR="00F25ADF">
        <w:rPr>
          <w:rFonts w:ascii="Palatino Linotype" w:hAnsi="Palatino Linotype" w:cs="Arial"/>
          <w:sz w:val="22"/>
          <w:szCs w:val="22"/>
        </w:rPr>
        <w:t xml:space="preserve">her with terms </w:t>
      </w:r>
      <w:r w:rsidR="00FA34F3">
        <w:rPr>
          <w:rFonts w:ascii="Palatino Linotype" w:hAnsi="Palatino Linotype" w:cs="Arial"/>
          <w:sz w:val="22"/>
          <w:szCs w:val="22"/>
        </w:rPr>
        <w:t>o</w:t>
      </w:r>
      <w:r w:rsidR="00F25ADF">
        <w:rPr>
          <w:rFonts w:ascii="Palatino Linotype" w:hAnsi="Palatino Linotype" w:cs="Arial"/>
          <w:sz w:val="22"/>
          <w:szCs w:val="22"/>
        </w:rPr>
        <w:t>f</w:t>
      </w:r>
      <w:r w:rsidR="00FA34F3">
        <w:rPr>
          <w:rFonts w:ascii="Palatino Linotype" w:hAnsi="Palatino Linotype" w:cs="Arial"/>
          <w:sz w:val="22"/>
          <w:szCs w:val="22"/>
        </w:rPr>
        <w:t xml:space="preserve"> tenancy and to provide her with </w:t>
      </w:r>
      <w:r w:rsidR="00F25ADF">
        <w:rPr>
          <w:rFonts w:ascii="Palatino Linotype" w:hAnsi="Palatino Linotype" w:cs="Arial"/>
          <w:sz w:val="22"/>
          <w:szCs w:val="22"/>
        </w:rPr>
        <w:t xml:space="preserve">certain information. The application was </w:t>
      </w:r>
      <w:r w:rsidR="008A1BB3">
        <w:rPr>
          <w:rFonts w:ascii="Palatino Linotype" w:hAnsi="Palatino Linotype" w:cs="Arial"/>
          <w:sz w:val="22"/>
          <w:szCs w:val="22"/>
        </w:rPr>
        <w:t>brought under the 2016 Act. T</w:t>
      </w:r>
      <w:r w:rsidR="00F25ADF">
        <w:rPr>
          <w:rFonts w:ascii="Palatino Linotype" w:hAnsi="Palatino Linotype" w:cs="Arial"/>
          <w:sz w:val="22"/>
          <w:szCs w:val="22"/>
        </w:rPr>
        <w:t>he relevant provisions are cited</w:t>
      </w:r>
      <w:r w:rsidR="008A1BB3">
        <w:rPr>
          <w:rFonts w:ascii="Palatino Linotype" w:hAnsi="Palatino Linotype" w:cs="Arial"/>
          <w:sz w:val="22"/>
          <w:szCs w:val="22"/>
        </w:rPr>
        <w:t xml:space="preserve"> later</w:t>
      </w:r>
      <w:r w:rsidR="00F25ADF">
        <w:rPr>
          <w:rFonts w:ascii="Palatino Linotype" w:hAnsi="Palatino Linotype" w:cs="Arial"/>
          <w:sz w:val="22"/>
          <w:szCs w:val="22"/>
        </w:rPr>
        <w:t xml:space="preserve"> in this Note. </w:t>
      </w:r>
    </w:p>
    <w:p w14:paraId="576EF162" w14:textId="394CED19" w:rsidR="00C24B25" w:rsidRPr="0050354E" w:rsidRDefault="00F25ADF" w:rsidP="008F7224">
      <w:pPr>
        <w:pStyle w:val="ListParagraph"/>
        <w:numPr>
          <w:ilvl w:val="0"/>
          <w:numId w:val="19"/>
        </w:numPr>
        <w:spacing w:line="480" w:lineRule="auto"/>
        <w:ind w:left="0" w:firstLine="0"/>
        <w:rPr>
          <w:rFonts w:ascii="Palatino Linotype" w:hAnsi="Palatino Linotype" w:cs="Arial"/>
          <w:sz w:val="22"/>
          <w:szCs w:val="22"/>
        </w:rPr>
      </w:pPr>
      <w:r>
        <w:rPr>
          <w:rFonts w:ascii="Palatino Linotype" w:hAnsi="Palatino Linotype" w:cs="Arial"/>
          <w:sz w:val="22"/>
          <w:szCs w:val="22"/>
        </w:rPr>
        <w:t xml:space="preserve">On 9 September 2019 this Tribunal concluded that the FtT had erred in law when it concluded that the parties had not reached </w:t>
      </w:r>
      <w:r w:rsidR="008A1BB3">
        <w:rPr>
          <w:rFonts w:ascii="Palatino Linotype" w:hAnsi="Palatino Linotype" w:cs="Arial"/>
          <w:sz w:val="22"/>
          <w:szCs w:val="22"/>
        </w:rPr>
        <w:t xml:space="preserve">an </w:t>
      </w:r>
      <w:r>
        <w:rPr>
          <w:rFonts w:ascii="Palatino Linotype" w:hAnsi="Palatino Linotype" w:cs="Arial"/>
          <w:sz w:val="22"/>
          <w:szCs w:val="22"/>
        </w:rPr>
        <w:t xml:space="preserve">agreement which led to the existence of a tenancy but </w:t>
      </w:r>
      <w:r w:rsidR="008A1BB3">
        <w:rPr>
          <w:rFonts w:ascii="Palatino Linotype" w:hAnsi="Palatino Linotype" w:cs="Arial"/>
          <w:sz w:val="22"/>
          <w:szCs w:val="22"/>
        </w:rPr>
        <w:t xml:space="preserve">although it found a tenancy had been created it </w:t>
      </w:r>
      <w:r>
        <w:rPr>
          <w:rFonts w:ascii="Palatino Linotype" w:hAnsi="Palatino Linotype" w:cs="Arial"/>
          <w:sz w:val="22"/>
          <w:szCs w:val="22"/>
        </w:rPr>
        <w:t>concluded that th</w:t>
      </w:r>
      <w:r w:rsidR="008A1BB3">
        <w:rPr>
          <w:rFonts w:ascii="Palatino Linotype" w:hAnsi="Palatino Linotype" w:cs="Arial"/>
          <w:sz w:val="22"/>
          <w:szCs w:val="22"/>
        </w:rPr>
        <w:t xml:space="preserve">at </w:t>
      </w:r>
      <w:r>
        <w:rPr>
          <w:rFonts w:ascii="Palatino Linotype" w:hAnsi="Palatino Linotype" w:cs="Arial"/>
          <w:sz w:val="22"/>
          <w:szCs w:val="22"/>
        </w:rPr>
        <w:t xml:space="preserve">tenancy was not a PRT. The </w:t>
      </w:r>
      <w:r w:rsidR="00B37C56" w:rsidRPr="0050354E">
        <w:rPr>
          <w:rFonts w:ascii="Palatino Linotype" w:hAnsi="Palatino Linotype" w:cs="Arial"/>
          <w:sz w:val="22"/>
          <w:szCs w:val="22"/>
        </w:rPr>
        <w:t>decision of this Tribunal</w:t>
      </w:r>
      <w:r w:rsidR="00C24B25" w:rsidRPr="0050354E">
        <w:rPr>
          <w:rFonts w:ascii="Palatino Linotype" w:hAnsi="Palatino Linotype" w:cs="Arial"/>
          <w:sz w:val="22"/>
          <w:szCs w:val="22"/>
        </w:rPr>
        <w:t xml:space="preserve"> </w:t>
      </w:r>
      <w:r>
        <w:rPr>
          <w:rFonts w:ascii="Palatino Linotype" w:hAnsi="Palatino Linotype" w:cs="Arial"/>
          <w:sz w:val="22"/>
          <w:szCs w:val="22"/>
        </w:rPr>
        <w:t xml:space="preserve">refusing the appeal </w:t>
      </w:r>
      <w:r w:rsidR="00B37C56" w:rsidRPr="0050354E">
        <w:rPr>
          <w:rFonts w:ascii="Palatino Linotype" w:hAnsi="Palatino Linotype" w:cs="Arial"/>
          <w:sz w:val="22"/>
          <w:szCs w:val="22"/>
        </w:rPr>
        <w:t>w</w:t>
      </w:r>
      <w:r w:rsidR="00C24B25" w:rsidRPr="0050354E">
        <w:rPr>
          <w:rFonts w:ascii="Palatino Linotype" w:hAnsi="Palatino Linotype" w:cs="Arial"/>
          <w:sz w:val="22"/>
          <w:szCs w:val="22"/>
        </w:rPr>
        <w:t xml:space="preserve">as quashed </w:t>
      </w:r>
      <w:r w:rsidR="008A1BB3">
        <w:rPr>
          <w:rFonts w:ascii="Palatino Linotype" w:hAnsi="Palatino Linotype" w:cs="Arial"/>
          <w:sz w:val="22"/>
          <w:szCs w:val="22"/>
        </w:rPr>
        <w:t xml:space="preserve">without a hearing </w:t>
      </w:r>
      <w:r w:rsidR="00B37C56" w:rsidRPr="0050354E">
        <w:rPr>
          <w:rFonts w:ascii="Palatino Linotype" w:hAnsi="Palatino Linotype" w:cs="Arial"/>
          <w:sz w:val="22"/>
          <w:szCs w:val="22"/>
        </w:rPr>
        <w:t>on a further appeal by the appellant by the Court</w:t>
      </w:r>
      <w:r w:rsidR="0090065F" w:rsidRPr="0050354E">
        <w:rPr>
          <w:rFonts w:ascii="Palatino Linotype" w:hAnsi="Palatino Linotype" w:cs="Arial"/>
          <w:sz w:val="22"/>
          <w:szCs w:val="22"/>
        </w:rPr>
        <w:t xml:space="preserve"> of Session on 10 December 2019,</w:t>
      </w:r>
      <w:r w:rsidR="00C24B25" w:rsidRPr="0050354E">
        <w:rPr>
          <w:rFonts w:ascii="Palatino Linotype" w:hAnsi="Palatino Linotype" w:cs="Arial"/>
          <w:sz w:val="22"/>
          <w:szCs w:val="22"/>
        </w:rPr>
        <w:t xml:space="preserve"> </w:t>
      </w:r>
      <w:r w:rsidR="001670B7" w:rsidRPr="0050354E">
        <w:rPr>
          <w:rFonts w:ascii="Palatino Linotype" w:hAnsi="Palatino Linotype" w:cs="Arial"/>
          <w:sz w:val="22"/>
          <w:szCs w:val="22"/>
        </w:rPr>
        <w:t xml:space="preserve">it having been accepted that </w:t>
      </w:r>
      <w:r w:rsidR="00C24B25" w:rsidRPr="0050354E">
        <w:rPr>
          <w:rFonts w:ascii="Palatino Linotype" w:hAnsi="Palatino Linotype" w:cs="Arial"/>
          <w:sz w:val="22"/>
          <w:szCs w:val="22"/>
        </w:rPr>
        <w:t xml:space="preserve">the terms of section 2 of the </w:t>
      </w:r>
      <w:r w:rsidR="00FA34F3">
        <w:rPr>
          <w:rFonts w:ascii="Palatino Linotype" w:hAnsi="Palatino Linotype" w:cs="Arial"/>
          <w:sz w:val="22"/>
          <w:szCs w:val="22"/>
        </w:rPr>
        <w:t xml:space="preserve">2016 Act </w:t>
      </w:r>
      <w:r w:rsidR="001670B7" w:rsidRPr="0050354E">
        <w:rPr>
          <w:rFonts w:ascii="Palatino Linotype" w:hAnsi="Palatino Linotype" w:cs="Arial"/>
          <w:sz w:val="22"/>
          <w:szCs w:val="22"/>
        </w:rPr>
        <w:t>had been overlooked</w:t>
      </w:r>
      <w:r w:rsidR="00C24B25" w:rsidRPr="0050354E">
        <w:rPr>
          <w:rFonts w:ascii="Palatino Linotype" w:hAnsi="Palatino Linotype" w:cs="Arial"/>
          <w:sz w:val="22"/>
          <w:szCs w:val="22"/>
        </w:rPr>
        <w:t xml:space="preserve">. The matter has been remitted back and has been </w:t>
      </w:r>
      <w:r w:rsidR="004E4D52" w:rsidRPr="0050354E">
        <w:rPr>
          <w:rFonts w:ascii="Palatino Linotype" w:hAnsi="Palatino Linotype" w:cs="Arial"/>
          <w:sz w:val="22"/>
          <w:szCs w:val="22"/>
        </w:rPr>
        <w:t xml:space="preserve">assigned </w:t>
      </w:r>
      <w:r w:rsidR="005B243B">
        <w:rPr>
          <w:rFonts w:ascii="Palatino Linotype" w:hAnsi="Palatino Linotype" w:cs="Arial"/>
          <w:sz w:val="22"/>
          <w:szCs w:val="22"/>
        </w:rPr>
        <w:t xml:space="preserve">to a different </w:t>
      </w:r>
      <w:r w:rsidR="00C24B25" w:rsidRPr="0050354E">
        <w:rPr>
          <w:rFonts w:ascii="Palatino Linotype" w:hAnsi="Palatino Linotype" w:cs="Arial"/>
          <w:sz w:val="22"/>
          <w:szCs w:val="22"/>
        </w:rPr>
        <w:t>Judge</w:t>
      </w:r>
      <w:r w:rsidR="005B243B">
        <w:rPr>
          <w:rFonts w:ascii="Palatino Linotype" w:hAnsi="Palatino Linotype" w:cs="Arial"/>
          <w:sz w:val="22"/>
          <w:szCs w:val="22"/>
        </w:rPr>
        <w:t xml:space="preserve"> of this Tribunal</w:t>
      </w:r>
      <w:r w:rsidR="00C24B25" w:rsidRPr="0050354E">
        <w:rPr>
          <w:rFonts w:ascii="Palatino Linotype" w:hAnsi="Palatino Linotype" w:cs="Arial"/>
          <w:sz w:val="22"/>
          <w:szCs w:val="22"/>
        </w:rPr>
        <w:t xml:space="preserve">. </w:t>
      </w:r>
    </w:p>
    <w:p w14:paraId="69290B73" w14:textId="4B9BBE72" w:rsidR="00F13AD1" w:rsidRPr="0050354E" w:rsidRDefault="006B20DF"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The appeal focu</w:t>
      </w:r>
      <w:r w:rsidR="00670BA1" w:rsidRPr="0050354E">
        <w:rPr>
          <w:rFonts w:ascii="Palatino Linotype" w:hAnsi="Palatino Linotype" w:cs="Arial"/>
          <w:sz w:val="22"/>
          <w:szCs w:val="22"/>
        </w:rPr>
        <w:t>s</w:t>
      </w:r>
      <w:r w:rsidR="00B37C56" w:rsidRPr="0050354E">
        <w:rPr>
          <w:rFonts w:ascii="Palatino Linotype" w:hAnsi="Palatino Linotype" w:cs="Arial"/>
          <w:sz w:val="22"/>
          <w:szCs w:val="22"/>
        </w:rPr>
        <w:t>es on the question</w:t>
      </w:r>
      <w:r w:rsidRPr="0050354E">
        <w:rPr>
          <w:rFonts w:ascii="Palatino Linotype" w:hAnsi="Palatino Linotype" w:cs="Arial"/>
          <w:sz w:val="22"/>
          <w:szCs w:val="22"/>
        </w:rPr>
        <w:t xml:space="preserve"> on which permission was granted by the FtT on </w:t>
      </w:r>
      <w:r w:rsidR="0045117F" w:rsidRPr="0050354E">
        <w:rPr>
          <w:rFonts w:ascii="Palatino Linotype" w:hAnsi="Palatino Linotype" w:cs="Arial"/>
          <w:sz w:val="22"/>
          <w:szCs w:val="22"/>
        </w:rPr>
        <w:t>28 F</w:t>
      </w:r>
      <w:r w:rsidR="00670BA1" w:rsidRPr="0050354E">
        <w:rPr>
          <w:rFonts w:ascii="Palatino Linotype" w:hAnsi="Palatino Linotype" w:cs="Arial"/>
          <w:sz w:val="22"/>
          <w:szCs w:val="22"/>
        </w:rPr>
        <w:t>e</w:t>
      </w:r>
      <w:r w:rsidR="0045117F" w:rsidRPr="0050354E">
        <w:rPr>
          <w:rFonts w:ascii="Palatino Linotype" w:hAnsi="Palatino Linotype" w:cs="Arial"/>
          <w:sz w:val="22"/>
          <w:szCs w:val="22"/>
        </w:rPr>
        <w:t>b</w:t>
      </w:r>
      <w:r w:rsidRPr="0050354E">
        <w:rPr>
          <w:rFonts w:ascii="Palatino Linotype" w:hAnsi="Palatino Linotype" w:cs="Arial"/>
          <w:sz w:val="22"/>
          <w:szCs w:val="22"/>
        </w:rPr>
        <w:t>r</w:t>
      </w:r>
      <w:r w:rsidR="0045117F" w:rsidRPr="0050354E">
        <w:rPr>
          <w:rFonts w:ascii="Palatino Linotype" w:hAnsi="Palatino Linotype" w:cs="Arial"/>
          <w:sz w:val="22"/>
          <w:szCs w:val="22"/>
        </w:rPr>
        <w:t>uary 2019</w:t>
      </w:r>
      <w:r w:rsidR="00B37C56" w:rsidRPr="0050354E">
        <w:rPr>
          <w:rFonts w:ascii="Palatino Linotype" w:hAnsi="Palatino Linotype" w:cs="Arial"/>
          <w:sz w:val="22"/>
          <w:szCs w:val="22"/>
        </w:rPr>
        <w:t>,</w:t>
      </w:r>
      <w:r w:rsidRPr="0050354E">
        <w:rPr>
          <w:rFonts w:ascii="Palatino Linotype" w:hAnsi="Palatino Linotype" w:cs="Arial"/>
          <w:sz w:val="22"/>
          <w:szCs w:val="22"/>
        </w:rPr>
        <w:t xml:space="preserve"> namely</w:t>
      </w:r>
      <w:r w:rsidR="00B37C56" w:rsidRPr="0050354E">
        <w:rPr>
          <w:rFonts w:ascii="Palatino Linotype" w:hAnsi="Palatino Linotype" w:cs="Arial"/>
          <w:sz w:val="22"/>
          <w:szCs w:val="22"/>
        </w:rPr>
        <w:t>,</w:t>
      </w:r>
      <w:r w:rsidR="0090065F" w:rsidRPr="0050354E">
        <w:rPr>
          <w:rFonts w:ascii="Palatino Linotype" w:hAnsi="Palatino Linotype" w:cs="Arial"/>
          <w:sz w:val="22"/>
          <w:szCs w:val="22"/>
        </w:rPr>
        <w:t xml:space="preserve"> </w:t>
      </w:r>
      <w:r w:rsidRPr="0050354E">
        <w:rPr>
          <w:rFonts w:ascii="Palatino Linotype" w:hAnsi="Palatino Linotype" w:cs="Arial"/>
          <w:sz w:val="22"/>
          <w:szCs w:val="22"/>
        </w:rPr>
        <w:t xml:space="preserve">whether or not a </w:t>
      </w:r>
      <w:r w:rsidR="0045117F" w:rsidRPr="0050354E">
        <w:rPr>
          <w:rFonts w:ascii="Palatino Linotype" w:hAnsi="Palatino Linotype" w:cs="Arial"/>
          <w:sz w:val="22"/>
          <w:szCs w:val="22"/>
        </w:rPr>
        <w:t xml:space="preserve">PRT </w:t>
      </w:r>
      <w:r w:rsidRPr="0050354E">
        <w:rPr>
          <w:rFonts w:ascii="Palatino Linotype" w:hAnsi="Palatino Linotype" w:cs="Arial"/>
          <w:sz w:val="22"/>
          <w:szCs w:val="22"/>
        </w:rPr>
        <w:t>was in existence on the date the FtT rec</w:t>
      </w:r>
      <w:r w:rsidR="00B37C56" w:rsidRPr="0050354E">
        <w:rPr>
          <w:rFonts w:ascii="Palatino Linotype" w:hAnsi="Palatino Linotype" w:cs="Arial"/>
          <w:sz w:val="22"/>
          <w:szCs w:val="22"/>
        </w:rPr>
        <w:t>ei</w:t>
      </w:r>
      <w:r w:rsidR="00F13AD1" w:rsidRPr="0050354E">
        <w:rPr>
          <w:rFonts w:ascii="Palatino Linotype" w:hAnsi="Palatino Linotype" w:cs="Arial"/>
          <w:sz w:val="22"/>
          <w:szCs w:val="22"/>
        </w:rPr>
        <w:t xml:space="preserve">ved the </w:t>
      </w:r>
      <w:r w:rsidR="001B03A2" w:rsidRPr="0050354E">
        <w:rPr>
          <w:rFonts w:ascii="Palatino Linotype" w:hAnsi="Palatino Linotype" w:cs="Arial"/>
          <w:sz w:val="22"/>
          <w:szCs w:val="22"/>
        </w:rPr>
        <w:t xml:space="preserve">appellant’s </w:t>
      </w:r>
      <w:r w:rsidR="00F13AD1" w:rsidRPr="0050354E">
        <w:rPr>
          <w:rFonts w:ascii="Palatino Linotype" w:hAnsi="Palatino Linotype" w:cs="Arial"/>
          <w:sz w:val="22"/>
          <w:szCs w:val="22"/>
        </w:rPr>
        <w:t xml:space="preserve">application. </w:t>
      </w:r>
      <w:r w:rsidR="00CD37D3" w:rsidRPr="0050354E">
        <w:rPr>
          <w:rFonts w:ascii="Palatino Linotype" w:hAnsi="Palatino Linotype" w:cs="Arial"/>
          <w:sz w:val="22"/>
          <w:szCs w:val="22"/>
        </w:rPr>
        <w:t>The FtT had concluded in its original decision dated 15 January 2019 that the parties had not reached consensus as to the terms of the tenancy.</w:t>
      </w:r>
      <w:r w:rsidR="00F25ADF">
        <w:rPr>
          <w:rFonts w:ascii="Palatino Linotype" w:hAnsi="Palatino Linotype" w:cs="Arial"/>
          <w:sz w:val="22"/>
          <w:szCs w:val="22"/>
        </w:rPr>
        <w:t xml:space="preserve"> </w:t>
      </w:r>
      <w:r w:rsidRPr="0050354E">
        <w:rPr>
          <w:rFonts w:ascii="Palatino Linotype" w:hAnsi="Palatino Linotype" w:cs="Arial"/>
          <w:sz w:val="22"/>
          <w:szCs w:val="22"/>
        </w:rPr>
        <w:t>T</w:t>
      </w:r>
      <w:r w:rsidR="00C24B25" w:rsidRPr="0050354E">
        <w:rPr>
          <w:rFonts w:ascii="Palatino Linotype" w:hAnsi="Palatino Linotype" w:cs="Arial"/>
          <w:sz w:val="22"/>
          <w:szCs w:val="22"/>
        </w:rPr>
        <w:t>he respondents supported the dec</w:t>
      </w:r>
      <w:r w:rsidRPr="0050354E">
        <w:rPr>
          <w:rFonts w:ascii="Palatino Linotype" w:hAnsi="Palatino Linotype" w:cs="Arial"/>
          <w:sz w:val="22"/>
          <w:szCs w:val="22"/>
        </w:rPr>
        <w:t>ision of the FtT</w:t>
      </w:r>
      <w:r w:rsidR="004E4D52" w:rsidRPr="0050354E">
        <w:rPr>
          <w:rFonts w:ascii="Palatino Linotype" w:hAnsi="Palatino Linotype" w:cs="Arial"/>
          <w:sz w:val="22"/>
          <w:szCs w:val="22"/>
        </w:rPr>
        <w:t xml:space="preserve"> </w:t>
      </w:r>
      <w:r w:rsidR="00BB6ED6" w:rsidRPr="0050354E">
        <w:rPr>
          <w:rFonts w:ascii="Palatino Linotype" w:hAnsi="Palatino Linotype" w:cs="Arial"/>
          <w:sz w:val="22"/>
          <w:szCs w:val="22"/>
        </w:rPr>
        <w:t>when they submitted a response at the commencement</w:t>
      </w:r>
      <w:r w:rsidR="004E4D52" w:rsidRPr="0050354E">
        <w:rPr>
          <w:rFonts w:ascii="Palatino Linotype" w:hAnsi="Palatino Linotype" w:cs="Arial"/>
          <w:sz w:val="22"/>
          <w:szCs w:val="22"/>
        </w:rPr>
        <w:t xml:space="preserve"> of this appeal.</w:t>
      </w:r>
      <w:r w:rsidRPr="0050354E">
        <w:rPr>
          <w:rFonts w:ascii="Palatino Linotype" w:hAnsi="Palatino Linotype" w:cs="Arial"/>
          <w:sz w:val="22"/>
          <w:szCs w:val="22"/>
        </w:rPr>
        <w:t xml:space="preserve"> </w:t>
      </w:r>
    </w:p>
    <w:p w14:paraId="50C1A8AD" w14:textId="0056A194" w:rsidR="00C24B25" w:rsidRDefault="008A1BB3" w:rsidP="008F7224">
      <w:pPr>
        <w:pStyle w:val="ListParagraph"/>
        <w:numPr>
          <w:ilvl w:val="0"/>
          <w:numId w:val="19"/>
        </w:numPr>
        <w:spacing w:line="480" w:lineRule="auto"/>
        <w:ind w:left="0" w:firstLine="0"/>
        <w:rPr>
          <w:rFonts w:ascii="Palatino Linotype" w:hAnsi="Palatino Linotype" w:cs="Arial"/>
          <w:sz w:val="22"/>
          <w:szCs w:val="22"/>
        </w:rPr>
      </w:pPr>
      <w:r>
        <w:rPr>
          <w:rFonts w:ascii="Palatino Linotype" w:hAnsi="Palatino Linotype" w:cs="Arial"/>
          <w:sz w:val="22"/>
          <w:szCs w:val="22"/>
        </w:rPr>
        <w:t>When this appeal was remitted by the Court of Session, i</w:t>
      </w:r>
      <w:r w:rsidR="00C24B25" w:rsidRPr="00005CE5">
        <w:rPr>
          <w:rFonts w:ascii="Palatino Linotype" w:hAnsi="Palatino Linotype" w:cs="Arial"/>
          <w:sz w:val="22"/>
          <w:szCs w:val="22"/>
        </w:rPr>
        <w:t>n the unusual circumstances</w:t>
      </w:r>
      <w:r w:rsidR="008F4B1D" w:rsidRPr="00005CE5">
        <w:rPr>
          <w:rFonts w:ascii="Palatino Linotype" w:hAnsi="Palatino Linotype" w:cs="Arial"/>
          <w:sz w:val="22"/>
          <w:szCs w:val="22"/>
        </w:rPr>
        <w:t>,</w:t>
      </w:r>
      <w:r w:rsidR="00C24B25" w:rsidRPr="00005CE5">
        <w:rPr>
          <w:rFonts w:ascii="Palatino Linotype" w:hAnsi="Palatino Linotype" w:cs="Arial"/>
          <w:sz w:val="22"/>
          <w:szCs w:val="22"/>
        </w:rPr>
        <w:t xml:space="preserve"> the parties </w:t>
      </w:r>
      <w:r w:rsidR="00A15EFB" w:rsidRPr="00005CE5">
        <w:rPr>
          <w:rFonts w:ascii="Palatino Linotype" w:hAnsi="Palatino Linotype" w:cs="Arial"/>
          <w:sz w:val="22"/>
          <w:szCs w:val="22"/>
        </w:rPr>
        <w:t>wer</w:t>
      </w:r>
      <w:r w:rsidR="00C24B25" w:rsidRPr="00005CE5">
        <w:rPr>
          <w:rFonts w:ascii="Palatino Linotype" w:hAnsi="Palatino Linotype" w:cs="Arial"/>
          <w:sz w:val="22"/>
          <w:szCs w:val="22"/>
        </w:rPr>
        <w:t xml:space="preserve">e </w:t>
      </w:r>
      <w:r w:rsidR="007B645A" w:rsidRPr="00005CE5">
        <w:rPr>
          <w:rFonts w:ascii="Palatino Linotype" w:hAnsi="Palatino Linotype" w:cs="Arial"/>
          <w:sz w:val="22"/>
          <w:szCs w:val="22"/>
        </w:rPr>
        <w:t>given a</w:t>
      </w:r>
      <w:r w:rsidR="004E4D52" w:rsidRPr="00005CE5">
        <w:rPr>
          <w:rFonts w:ascii="Palatino Linotype" w:hAnsi="Palatino Linotype" w:cs="Arial"/>
          <w:sz w:val="22"/>
          <w:szCs w:val="22"/>
        </w:rPr>
        <w:t>n opportunity</w:t>
      </w:r>
      <w:r w:rsidR="008F4B1D" w:rsidRPr="00005CE5">
        <w:rPr>
          <w:rFonts w:ascii="Palatino Linotype" w:hAnsi="Palatino Linotype" w:cs="Arial"/>
          <w:sz w:val="22"/>
          <w:szCs w:val="22"/>
        </w:rPr>
        <w:t xml:space="preserve"> </w:t>
      </w:r>
      <w:r w:rsidR="00C24B25" w:rsidRPr="00005CE5">
        <w:rPr>
          <w:rFonts w:ascii="Palatino Linotype" w:hAnsi="Palatino Linotype" w:cs="Arial"/>
          <w:sz w:val="22"/>
          <w:szCs w:val="22"/>
        </w:rPr>
        <w:t>to make supplementary submissions in the appeal</w:t>
      </w:r>
      <w:r w:rsidR="005738BF" w:rsidRPr="00005CE5">
        <w:rPr>
          <w:rFonts w:ascii="Palatino Linotype" w:hAnsi="Palatino Linotype" w:cs="Arial"/>
          <w:sz w:val="22"/>
          <w:szCs w:val="22"/>
        </w:rPr>
        <w:t xml:space="preserve"> restricted to </w:t>
      </w:r>
      <w:r w:rsidR="001B03A2" w:rsidRPr="00005CE5">
        <w:rPr>
          <w:rFonts w:ascii="Palatino Linotype" w:hAnsi="Palatino Linotype" w:cs="Arial"/>
          <w:sz w:val="22"/>
          <w:szCs w:val="22"/>
        </w:rPr>
        <w:t xml:space="preserve">matters arising from </w:t>
      </w:r>
      <w:r w:rsidR="005738BF" w:rsidRPr="00005CE5">
        <w:rPr>
          <w:rFonts w:ascii="Palatino Linotype" w:hAnsi="Palatino Linotype" w:cs="Arial"/>
          <w:sz w:val="22"/>
          <w:szCs w:val="22"/>
        </w:rPr>
        <w:t xml:space="preserve">the terms of the decision of this Tribunal </w:t>
      </w:r>
      <w:r w:rsidR="00A15EFB" w:rsidRPr="00005CE5">
        <w:rPr>
          <w:rFonts w:ascii="Palatino Linotype" w:hAnsi="Palatino Linotype" w:cs="Arial"/>
          <w:sz w:val="22"/>
          <w:szCs w:val="22"/>
        </w:rPr>
        <w:t>of 9 September 2019</w:t>
      </w:r>
      <w:r w:rsidR="005738BF" w:rsidRPr="00005CE5">
        <w:rPr>
          <w:rFonts w:ascii="Palatino Linotype" w:hAnsi="Palatino Linotype" w:cs="Arial"/>
          <w:sz w:val="22"/>
          <w:szCs w:val="22"/>
        </w:rPr>
        <w:t>.</w:t>
      </w:r>
      <w:r w:rsidR="00A15EFB" w:rsidRPr="00005CE5">
        <w:rPr>
          <w:rFonts w:ascii="Palatino Linotype" w:hAnsi="Palatino Linotype" w:cs="Arial"/>
          <w:sz w:val="22"/>
          <w:szCs w:val="22"/>
        </w:rPr>
        <w:t xml:space="preserve"> In particular</w:t>
      </w:r>
      <w:r w:rsidR="00161FA8" w:rsidRPr="00005CE5">
        <w:rPr>
          <w:rFonts w:ascii="Palatino Linotype" w:hAnsi="Palatino Linotype" w:cs="Arial"/>
          <w:sz w:val="22"/>
          <w:szCs w:val="22"/>
        </w:rPr>
        <w:t>,</w:t>
      </w:r>
      <w:r w:rsidR="00A15EFB" w:rsidRPr="00005CE5">
        <w:rPr>
          <w:rFonts w:ascii="Palatino Linotype" w:hAnsi="Palatino Linotype" w:cs="Arial"/>
          <w:sz w:val="22"/>
          <w:szCs w:val="22"/>
        </w:rPr>
        <w:t xml:space="preserve"> the parties were asked to consider whether they wished to comment on the following issues</w:t>
      </w:r>
      <w:r w:rsidR="00FD6078" w:rsidRPr="00005CE5">
        <w:rPr>
          <w:rFonts w:ascii="Palatino Linotype" w:hAnsi="Palatino Linotype" w:cs="Arial"/>
          <w:sz w:val="22"/>
          <w:szCs w:val="22"/>
        </w:rPr>
        <w:t xml:space="preserve">. </w:t>
      </w:r>
    </w:p>
    <w:p w14:paraId="73334625" w14:textId="4A44DE77" w:rsidR="00005CE5" w:rsidRPr="00BD7462" w:rsidRDefault="00BD7462" w:rsidP="00BD7462">
      <w:pPr>
        <w:spacing w:line="480" w:lineRule="auto"/>
        <w:ind w:left="1440" w:hanging="720"/>
        <w:rPr>
          <w:rFonts w:ascii="Palatino Linotype" w:hAnsi="Palatino Linotype" w:cs="Arial"/>
          <w:sz w:val="22"/>
          <w:szCs w:val="22"/>
        </w:rPr>
      </w:pPr>
      <w:r>
        <w:rPr>
          <w:rFonts w:ascii="Palatino Linotype" w:hAnsi="Palatino Linotype" w:cs="Arial"/>
          <w:sz w:val="22"/>
          <w:szCs w:val="22"/>
        </w:rPr>
        <w:t>a.</w:t>
      </w:r>
      <w:r>
        <w:rPr>
          <w:rFonts w:ascii="Palatino Linotype" w:hAnsi="Palatino Linotype" w:cs="Arial"/>
          <w:sz w:val="22"/>
          <w:szCs w:val="22"/>
        </w:rPr>
        <w:tab/>
      </w:r>
      <w:r w:rsidR="007B645A" w:rsidRPr="00BD7462">
        <w:rPr>
          <w:rFonts w:ascii="Palatino Linotype" w:hAnsi="Palatino Linotype" w:cs="Arial"/>
          <w:sz w:val="22"/>
          <w:szCs w:val="22"/>
        </w:rPr>
        <w:t>W</w:t>
      </w:r>
      <w:r w:rsidR="00C24B25" w:rsidRPr="00BD7462">
        <w:rPr>
          <w:rFonts w:ascii="Palatino Linotype" w:hAnsi="Palatino Linotype" w:cs="Arial"/>
          <w:sz w:val="22"/>
          <w:szCs w:val="22"/>
        </w:rPr>
        <w:t>hether</w:t>
      </w:r>
      <w:r w:rsidR="007B645A" w:rsidRPr="00BD7462">
        <w:rPr>
          <w:rFonts w:ascii="Palatino Linotype" w:hAnsi="Palatino Linotype" w:cs="Arial"/>
          <w:sz w:val="22"/>
          <w:szCs w:val="22"/>
        </w:rPr>
        <w:t xml:space="preserve"> the respondents accept</w:t>
      </w:r>
      <w:r w:rsidR="00005CE5" w:rsidRPr="00BD7462">
        <w:rPr>
          <w:rFonts w:ascii="Palatino Linotype" w:hAnsi="Palatino Linotype" w:cs="Arial"/>
          <w:sz w:val="22"/>
          <w:szCs w:val="22"/>
        </w:rPr>
        <w:t>ed</w:t>
      </w:r>
      <w:r w:rsidR="008F4B1D" w:rsidRPr="00BD7462">
        <w:rPr>
          <w:rFonts w:ascii="Palatino Linotype" w:hAnsi="Palatino Linotype" w:cs="Arial"/>
          <w:sz w:val="22"/>
          <w:szCs w:val="22"/>
        </w:rPr>
        <w:t xml:space="preserve"> </w:t>
      </w:r>
      <w:r w:rsidR="00C24B25" w:rsidRPr="00BD7462">
        <w:rPr>
          <w:rFonts w:ascii="Palatino Linotype" w:hAnsi="Palatino Linotype" w:cs="Arial"/>
          <w:sz w:val="22"/>
          <w:szCs w:val="22"/>
        </w:rPr>
        <w:t>to any extent</w:t>
      </w:r>
      <w:r w:rsidR="00C73487" w:rsidRPr="00BD7462">
        <w:rPr>
          <w:rFonts w:ascii="Palatino Linotype" w:hAnsi="Palatino Linotype" w:cs="Arial"/>
          <w:sz w:val="22"/>
          <w:szCs w:val="22"/>
        </w:rPr>
        <w:t xml:space="preserve"> th</w:t>
      </w:r>
      <w:r w:rsidR="000A2D48" w:rsidRPr="00BD7462">
        <w:rPr>
          <w:rFonts w:ascii="Palatino Linotype" w:hAnsi="Palatino Linotype" w:cs="Arial"/>
          <w:sz w:val="22"/>
          <w:szCs w:val="22"/>
        </w:rPr>
        <w:t>os</w:t>
      </w:r>
      <w:r w:rsidR="00C73487" w:rsidRPr="00BD7462">
        <w:rPr>
          <w:rFonts w:ascii="Palatino Linotype" w:hAnsi="Palatino Linotype" w:cs="Arial"/>
          <w:sz w:val="22"/>
          <w:szCs w:val="22"/>
        </w:rPr>
        <w:t xml:space="preserve">e </w:t>
      </w:r>
      <w:r w:rsidR="000A2D48" w:rsidRPr="00BD7462">
        <w:rPr>
          <w:rFonts w:ascii="Palatino Linotype" w:hAnsi="Palatino Linotype" w:cs="Arial"/>
          <w:sz w:val="22"/>
          <w:szCs w:val="22"/>
        </w:rPr>
        <w:t xml:space="preserve">parts of the </w:t>
      </w:r>
      <w:r w:rsidR="00406E10" w:rsidRPr="00BD7462">
        <w:rPr>
          <w:rFonts w:ascii="Palatino Linotype" w:hAnsi="Palatino Linotype" w:cs="Arial"/>
          <w:sz w:val="22"/>
          <w:szCs w:val="22"/>
        </w:rPr>
        <w:t xml:space="preserve">analysis </w:t>
      </w:r>
      <w:r w:rsidR="00C73487" w:rsidRPr="00BD7462">
        <w:rPr>
          <w:rFonts w:ascii="Palatino Linotype" w:hAnsi="Palatino Linotype" w:cs="Arial"/>
          <w:sz w:val="22"/>
          <w:szCs w:val="22"/>
        </w:rPr>
        <w:t>of the Upper Tribunal Judge</w:t>
      </w:r>
      <w:r w:rsidR="000A2D48" w:rsidRPr="00BD7462">
        <w:rPr>
          <w:rFonts w:ascii="Palatino Linotype" w:hAnsi="Palatino Linotype" w:cs="Arial"/>
          <w:sz w:val="22"/>
          <w:szCs w:val="22"/>
        </w:rPr>
        <w:t xml:space="preserve"> which were</w:t>
      </w:r>
      <w:r w:rsidR="00C24B25" w:rsidRPr="00BD7462">
        <w:rPr>
          <w:rFonts w:ascii="Palatino Linotype" w:hAnsi="Palatino Linotype" w:cs="Arial"/>
          <w:sz w:val="22"/>
          <w:szCs w:val="22"/>
        </w:rPr>
        <w:t xml:space="preserve"> not </w:t>
      </w:r>
      <w:r w:rsidR="008F4B1D" w:rsidRPr="00BD7462">
        <w:rPr>
          <w:rFonts w:ascii="Palatino Linotype" w:hAnsi="Palatino Linotype" w:cs="Arial"/>
          <w:sz w:val="22"/>
          <w:szCs w:val="22"/>
        </w:rPr>
        <w:t>directly challenged in</w:t>
      </w:r>
      <w:r w:rsidR="00C24B25" w:rsidRPr="00BD7462">
        <w:rPr>
          <w:rFonts w:ascii="Palatino Linotype" w:hAnsi="Palatino Linotype" w:cs="Arial"/>
          <w:sz w:val="22"/>
          <w:szCs w:val="22"/>
        </w:rPr>
        <w:t xml:space="preserve"> the appeal t</w:t>
      </w:r>
      <w:r w:rsidR="00C73487" w:rsidRPr="00BD7462">
        <w:rPr>
          <w:rFonts w:ascii="Palatino Linotype" w:hAnsi="Palatino Linotype" w:cs="Arial"/>
          <w:sz w:val="22"/>
          <w:szCs w:val="22"/>
        </w:rPr>
        <w:t>o the Court of Session</w:t>
      </w:r>
      <w:r w:rsidR="00161FA8" w:rsidRPr="00BD7462">
        <w:rPr>
          <w:rFonts w:ascii="Palatino Linotype" w:hAnsi="Palatino Linotype" w:cs="Arial"/>
          <w:sz w:val="22"/>
          <w:szCs w:val="22"/>
        </w:rPr>
        <w:t xml:space="preserve">. Reference was made to </w:t>
      </w:r>
      <w:r w:rsidR="00670BA1" w:rsidRPr="00BD7462">
        <w:rPr>
          <w:rFonts w:ascii="Palatino Linotype" w:hAnsi="Palatino Linotype" w:cs="Arial"/>
          <w:sz w:val="22"/>
          <w:szCs w:val="22"/>
        </w:rPr>
        <w:t>paragra</w:t>
      </w:r>
      <w:r w:rsidR="00C73487" w:rsidRPr="00BD7462">
        <w:rPr>
          <w:rFonts w:ascii="Palatino Linotype" w:hAnsi="Palatino Linotype" w:cs="Arial"/>
          <w:sz w:val="22"/>
          <w:szCs w:val="22"/>
        </w:rPr>
        <w:t>phs 11, 12, 13, 14 and 15 of the</w:t>
      </w:r>
      <w:r w:rsidR="00670BA1" w:rsidRPr="00BD7462">
        <w:rPr>
          <w:rFonts w:ascii="Palatino Linotype" w:hAnsi="Palatino Linotype" w:cs="Arial"/>
          <w:sz w:val="22"/>
          <w:szCs w:val="22"/>
        </w:rPr>
        <w:t xml:space="preserve"> decision of </w:t>
      </w:r>
      <w:r w:rsidR="00161FA8" w:rsidRPr="00BD7462">
        <w:rPr>
          <w:rFonts w:ascii="Palatino Linotype" w:hAnsi="Palatino Linotype" w:cs="Arial"/>
          <w:sz w:val="22"/>
          <w:szCs w:val="22"/>
        </w:rPr>
        <w:t>9 September 2019</w:t>
      </w:r>
      <w:r w:rsidR="004E4D52" w:rsidRPr="00BD7462">
        <w:rPr>
          <w:rFonts w:ascii="Palatino Linotype" w:hAnsi="Palatino Linotype" w:cs="Arial"/>
          <w:sz w:val="22"/>
          <w:szCs w:val="22"/>
        </w:rPr>
        <w:t>.</w:t>
      </w:r>
      <w:r w:rsidR="00855DA3" w:rsidRPr="00BD7462">
        <w:rPr>
          <w:rFonts w:ascii="Palatino Linotype" w:hAnsi="Palatino Linotype" w:cs="Arial"/>
          <w:sz w:val="22"/>
          <w:szCs w:val="22"/>
        </w:rPr>
        <w:t xml:space="preserve"> </w:t>
      </w:r>
    </w:p>
    <w:p w14:paraId="06F1F95F" w14:textId="0E83BDFD" w:rsidR="00C24B25" w:rsidRPr="00BD7462" w:rsidRDefault="00BD7462" w:rsidP="00BD7462">
      <w:pPr>
        <w:spacing w:line="480" w:lineRule="auto"/>
        <w:ind w:left="1440" w:hanging="720"/>
        <w:rPr>
          <w:rFonts w:ascii="Palatino Linotype" w:hAnsi="Palatino Linotype" w:cs="Arial"/>
          <w:sz w:val="22"/>
          <w:szCs w:val="22"/>
        </w:rPr>
      </w:pPr>
      <w:r>
        <w:rPr>
          <w:rFonts w:ascii="Palatino Linotype" w:hAnsi="Palatino Linotype" w:cs="Arial"/>
          <w:sz w:val="22"/>
          <w:szCs w:val="22"/>
        </w:rPr>
        <w:t>b.</w:t>
      </w:r>
      <w:r>
        <w:rPr>
          <w:rFonts w:ascii="Palatino Linotype" w:hAnsi="Palatino Linotype" w:cs="Arial"/>
          <w:sz w:val="22"/>
          <w:szCs w:val="22"/>
        </w:rPr>
        <w:tab/>
      </w:r>
      <w:r w:rsidR="004E4D52" w:rsidRPr="00BD7462">
        <w:rPr>
          <w:rFonts w:ascii="Palatino Linotype" w:hAnsi="Palatino Linotype" w:cs="Arial"/>
          <w:sz w:val="22"/>
          <w:szCs w:val="22"/>
        </w:rPr>
        <w:t>H</w:t>
      </w:r>
      <w:r w:rsidR="00C24B25" w:rsidRPr="00BD7462">
        <w:rPr>
          <w:rFonts w:ascii="Palatino Linotype" w:hAnsi="Palatino Linotype" w:cs="Arial"/>
          <w:sz w:val="22"/>
          <w:szCs w:val="22"/>
        </w:rPr>
        <w:t>ow section 2 of the 2</w:t>
      </w:r>
      <w:r w:rsidR="00FD6078" w:rsidRPr="00BD7462">
        <w:rPr>
          <w:rFonts w:ascii="Palatino Linotype" w:hAnsi="Palatino Linotype" w:cs="Arial"/>
          <w:sz w:val="22"/>
          <w:szCs w:val="22"/>
        </w:rPr>
        <w:t>0</w:t>
      </w:r>
      <w:r w:rsidR="00C24B25" w:rsidRPr="00BD7462">
        <w:rPr>
          <w:rFonts w:ascii="Palatino Linotype" w:hAnsi="Palatino Linotype" w:cs="Arial"/>
          <w:sz w:val="22"/>
          <w:szCs w:val="22"/>
        </w:rPr>
        <w:t xml:space="preserve">16 Act </w:t>
      </w:r>
      <w:r w:rsidR="00C73487" w:rsidRPr="00BD7462">
        <w:rPr>
          <w:rFonts w:ascii="Palatino Linotype" w:hAnsi="Palatino Linotype" w:cs="Arial"/>
          <w:sz w:val="22"/>
          <w:szCs w:val="22"/>
        </w:rPr>
        <w:t>should</w:t>
      </w:r>
      <w:r w:rsidR="00C24B25" w:rsidRPr="00BD7462">
        <w:rPr>
          <w:rFonts w:ascii="Palatino Linotype" w:hAnsi="Palatino Linotype" w:cs="Arial"/>
          <w:sz w:val="22"/>
          <w:szCs w:val="22"/>
        </w:rPr>
        <w:t xml:space="preserve"> be </w:t>
      </w:r>
      <w:r w:rsidR="00C73487" w:rsidRPr="00BD7462">
        <w:rPr>
          <w:rFonts w:ascii="Palatino Linotype" w:hAnsi="Palatino Linotype" w:cs="Arial"/>
          <w:sz w:val="22"/>
          <w:szCs w:val="22"/>
        </w:rPr>
        <w:t>construed for the purposes of this appeal</w:t>
      </w:r>
      <w:r w:rsidR="004E4D52" w:rsidRPr="00BD7462">
        <w:rPr>
          <w:rFonts w:ascii="Palatino Linotype" w:hAnsi="Palatino Linotype" w:cs="Arial"/>
          <w:sz w:val="22"/>
          <w:szCs w:val="22"/>
        </w:rPr>
        <w:t>.</w:t>
      </w:r>
      <w:r w:rsidR="00C24B25" w:rsidRPr="00BD7462">
        <w:rPr>
          <w:rFonts w:ascii="Palatino Linotype" w:hAnsi="Palatino Linotype" w:cs="Arial"/>
          <w:sz w:val="22"/>
          <w:szCs w:val="22"/>
        </w:rPr>
        <w:t xml:space="preserve"> </w:t>
      </w:r>
    </w:p>
    <w:p w14:paraId="2C429BBB" w14:textId="465D8302" w:rsidR="00981382" w:rsidRPr="00005CE5" w:rsidRDefault="00161FA8"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Notice was also given that</w:t>
      </w:r>
      <w:r w:rsidR="00005CE5">
        <w:rPr>
          <w:rFonts w:ascii="Palatino Linotype" w:hAnsi="Palatino Linotype" w:cs="Arial"/>
          <w:sz w:val="22"/>
          <w:szCs w:val="22"/>
        </w:rPr>
        <w:t>,</w:t>
      </w:r>
      <w:r w:rsidRPr="0050354E">
        <w:rPr>
          <w:rFonts w:ascii="Palatino Linotype" w:hAnsi="Palatino Linotype" w:cs="Arial"/>
          <w:sz w:val="22"/>
          <w:szCs w:val="22"/>
        </w:rPr>
        <w:t xml:space="preserve"> s</w:t>
      </w:r>
      <w:r w:rsidR="008F4B1D" w:rsidRPr="0050354E">
        <w:rPr>
          <w:rFonts w:ascii="Palatino Linotype" w:hAnsi="Palatino Linotype" w:cs="Arial"/>
          <w:sz w:val="22"/>
          <w:szCs w:val="22"/>
        </w:rPr>
        <w:t>ubject</w:t>
      </w:r>
      <w:r w:rsidR="004E4D52" w:rsidRPr="0050354E">
        <w:rPr>
          <w:rFonts w:ascii="Palatino Linotype" w:hAnsi="Palatino Linotype" w:cs="Arial"/>
          <w:sz w:val="22"/>
          <w:szCs w:val="22"/>
        </w:rPr>
        <w:t xml:space="preserve"> to consideration of any supplementary</w:t>
      </w:r>
      <w:r w:rsidR="008F4B1D" w:rsidRPr="0050354E">
        <w:rPr>
          <w:rFonts w:ascii="Palatino Linotype" w:hAnsi="Palatino Linotype" w:cs="Arial"/>
          <w:sz w:val="22"/>
          <w:szCs w:val="22"/>
        </w:rPr>
        <w:t xml:space="preserve"> submission</w:t>
      </w:r>
      <w:r w:rsidR="00C73487" w:rsidRPr="0050354E">
        <w:rPr>
          <w:rFonts w:ascii="Palatino Linotype" w:hAnsi="Palatino Linotype" w:cs="Arial"/>
          <w:sz w:val="22"/>
          <w:szCs w:val="22"/>
        </w:rPr>
        <w:t>s</w:t>
      </w:r>
      <w:r w:rsidR="008F4B1D" w:rsidRPr="0050354E">
        <w:rPr>
          <w:rFonts w:ascii="Palatino Linotype" w:hAnsi="Palatino Linotype" w:cs="Arial"/>
          <w:sz w:val="22"/>
          <w:szCs w:val="22"/>
        </w:rPr>
        <w:t xml:space="preserve"> of</w:t>
      </w:r>
      <w:r w:rsidR="00C24B25" w:rsidRPr="0050354E">
        <w:rPr>
          <w:rFonts w:ascii="Palatino Linotype" w:hAnsi="Palatino Linotype" w:cs="Arial"/>
          <w:sz w:val="22"/>
          <w:szCs w:val="22"/>
        </w:rPr>
        <w:t xml:space="preserve"> the parties, </w:t>
      </w:r>
      <w:r w:rsidRPr="0050354E">
        <w:rPr>
          <w:rFonts w:ascii="Palatino Linotype" w:hAnsi="Palatino Linotype" w:cs="Arial"/>
          <w:sz w:val="22"/>
          <w:szCs w:val="22"/>
        </w:rPr>
        <w:t>it wa</w:t>
      </w:r>
      <w:r w:rsidR="00C24B25" w:rsidRPr="0050354E">
        <w:rPr>
          <w:rFonts w:ascii="Palatino Linotype" w:hAnsi="Palatino Linotype" w:cs="Arial"/>
          <w:sz w:val="22"/>
          <w:szCs w:val="22"/>
        </w:rPr>
        <w:t>s proposed to deal with this appeal in writing with</w:t>
      </w:r>
      <w:r w:rsidR="00981382" w:rsidRPr="0050354E">
        <w:rPr>
          <w:rFonts w:ascii="Palatino Linotype" w:hAnsi="Palatino Linotype" w:cs="Arial"/>
          <w:sz w:val="22"/>
          <w:szCs w:val="22"/>
        </w:rPr>
        <w:t>o</w:t>
      </w:r>
      <w:r w:rsidR="00C24B25" w:rsidRPr="0050354E">
        <w:rPr>
          <w:rFonts w:ascii="Palatino Linotype" w:hAnsi="Palatino Linotype" w:cs="Arial"/>
          <w:sz w:val="22"/>
          <w:szCs w:val="22"/>
        </w:rPr>
        <w:t>ut an oral hearing</w:t>
      </w:r>
      <w:r w:rsidR="00981382" w:rsidRPr="0050354E">
        <w:rPr>
          <w:rFonts w:ascii="Palatino Linotype" w:hAnsi="Palatino Linotype" w:cs="Arial"/>
          <w:sz w:val="22"/>
          <w:szCs w:val="22"/>
        </w:rPr>
        <w:t xml:space="preserve">. </w:t>
      </w:r>
      <w:r w:rsidR="00981382" w:rsidRPr="00005CE5">
        <w:rPr>
          <w:rFonts w:ascii="Palatino Linotype" w:hAnsi="Palatino Linotype" w:cs="Arial"/>
          <w:sz w:val="22"/>
          <w:szCs w:val="22"/>
        </w:rPr>
        <w:t xml:space="preserve">Both parties elected to make further written submissions. </w:t>
      </w:r>
    </w:p>
    <w:p w14:paraId="125D2EC7" w14:textId="77777777" w:rsidR="00981382" w:rsidRPr="0050354E" w:rsidRDefault="00981382" w:rsidP="008F7224">
      <w:pPr>
        <w:pStyle w:val="ListParagraph"/>
        <w:spacing w:line="480" w:lineRule="auto"/>
        <w:ind w:left="0"/>
        <w:rPr>
          <w:rFonts w:ascii="Palatino Linotype" w:hAnsi="Palatino Linotype" w:cs="Arial"/>
          <w:sz w:val="22"/>
          <w:szCs w:val="22"/>
        </w:rPr>
      </w:pPr>
    </w:p>
    <w:p w14:paraId="1BD8339B" w14:textId="397D799D" w:rsidR="00981382" w:rsidRPr="008F7224" w:rsidRDefault="00405139" w:rsidP="008F7224">
      <w:pPr>
        <w:pStyle w:val="ListParagraph"/>
        <w:keepNext/>
        <w:spacing w:line="480" w:lineRule="auto"/>
        <w:ind w:left="0"/>
        <w:rPr>
          <w:rFonts w:ascii="Palatino Linotype" w:hAnsi="Palatino Linotype" w:cs="Arial"/>
          <w:b/>
          <w:i/>
          <w:sz w:val="22"/>
          <w:szCs w:val="22"/>
        </w:rPr>
      </w:pPr>
      <w:r w:rsidRPr="008F7224">
        <w:rPr>
          <w:rFonts w:ascii="Palatino Linotype" w:hAnsi="Palatino Linotype" w:cs="Arial"/>
          <w:b/>
          <w:i/>
          <w:sz w:val="22"/>
          <w:szCs w:val="22"/>
        </w:rPr>
        <w:t>The r</w:t>
      </w:r>
      <w:r w:rsidR="00981382" w:rsidRPr="008F7224">
        <w:rPr>
          <w:rFonts w:ascii="Palatino Linotype" w:hAnsi="Palatino Linotype" w:cs="Arial"/>
          <w:b/>
          <w:i/>
          <w:sz w:val="22"/>
          <w:szCs w:val="22"/>
        </w:rPr>
        <w:t>espondent</w:t>
      </w:r>
      <w:r w:rsidR="00707CDC" w:rsidRPr="008F7224">
        <w:rPr>
          <w:rFonts w:ascii="Palatino Linotype" w:hAnsi="Palatino Linotype" w:cs="Arial"/>
          <w:b/>
          <w:i/>
          <w:sz w:val="22"/>
          <w:szCs w:val="22"/>
        </w:rPr>
        <w:t>s</w:t>
      </w:r>
      <w:r w:rsidR="00E72C78" w:rsidRPr="008F7224">
        <w:rPr>
          <w:rFonts w:ascii="Palatino Linotype" w:hAnsi="Palatino Linotype" w:cs="Arial"/>
          <w:b/>
          <w:i/>
          <w:sz w:val="22"/>
          <w:szCs w:val="22"/>
        </w:rPr>
        <w:t>’</w:t>
      </w:r>
      <w:r w:rsidR="00707CDC" w:rsidRPr="008F7224">
        <w:rPr>
          <w:rFonts w:ascii="Palatino Linotype" w:hAnsi="Palatino Linotype" w:cs="Arial"/>
          <w:b/>
          <w:i/>
          <w:sz w:val="22"/>
          <w:szCs w:val="22"/>
        </w:rPr>
        <w:t xml:space="preserve"> </w:t>
      </w:r>
      <w:r w:rsidR="00F6342E" w:rsidRPr="008F7224">
        <w:rPr>
          <w:rFonts w:ascii="Palatino Linotype" w:hAnsi="Palatino Linotype" w:cs="Arial"/>
          <w:b/>
          <w:i/>
          <w:sz w:val="22"/>
          <w:szCs w:val="22"/>
        </w:rPr>
        <w:t xml:space="preserve">supplementary </w:t>
      </w:r>
      <w:r w:rsidR="00707CDC" w:rsidRPr="008F7224">
        <w:rPr>
          <w:rFonts w:ascii="Palatino Linotype" w:hAnsi="Palatino Linotype" w:cs="Arial"/>
          <w:b/>
          <w:i/>
          <w:sz w:val="22"/>
          <w:szCs w:val="22"/>
        </w:rPr>
        <w:t>submission</w:t>
      </w:r>
      <w:r w:rsidR="00981382" w:rsidRPr="008F7224">
        <w:rPr>
          <w:rFonts w:ascii="Palatino Linotype" w:hAnsi="Palatino Linotype" w:cs="Arial"/>
          <w:b/>
          <w:i/>
          <w:sz w:val="22"/>
          <w:szCs w:val="22"/>
        </w:rPr>
        <w:t xml:space="preserve"> </w:t>
      </w:r>
    </w:p>
    <w:p w14:paraId="50407456" w14:textId="376D064C" w:rsidR="00707CDC" w:rsidRPr="0050354E" w:rsidRDefault="00402F5E"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 xml:space="preserve">The respondents </w:t>
      </w:r>
      <w:r w:rsidR="00E13624" w:rsidRPr="0050354E">
        <w:rPr>
          <w:rFonts w:ascii="Palatino Linotype" w:hAnsi="Palatino Linotype" w:cs="Arial"/>
          <w:sz w:val="22"/>
          <w:szCs w:val="22"/>
        </w:rPr>
        <w:t xml:space="preserve">submitted that they </w:t>
      </w:r>
      <w:r w:rsidR="00005CE5">
        <w:rPr>
          <w:rFonts w:ascii="Palatino Linotype" w:hAnsi="Palatino Linotype" w:cs="Arial"/>
          <w:sz w:val="22"/>
          <w:szCs w:val="22"/>
        </w:rPr>
        <w:t xml:space="preserve">had </w:t>
      </w:r>
      <w:r w:rsidR="00E13624" w:rsidRPr="0050354E">
        <w:rPr>
          <w:rFonts w:ascii="Palatino Linotype" w:hAnsi="Palatino Linotype" w:cs="Arial"/>
          <w:sz w:val="22"/>
          <w:szCs w:val="22"/>
        </w:rPr>
        <w:t>never agreed that the app</w:t>
      </w:r>
      <w:r w:rsidR="00AE5E07" w:rsidRPr="0050354E">
        <w:rPr>
          <w:rFonts w:ascii="Palatino Linotype" w:hAnsi="Palatino Linotype" w:cs="Arial"/>
          <w:sz w:val="22"/>
          <w:szCs w:val="22"/>
        </w:rPr>
        <w:t>ellant was a stand</w:t>
      </w:r>
      <w:r w:rsidR="00C01324">
        <w:rPr>
          <w:rFonts w:ascii="Palatino Linotype" w:hAnsi="Palatino Linotype" w:cs="Arial"/>
          <w:sz w:val="22"/>
          <w:szCs w:val="22"/>
        </w:rPr>
        <w:t>-</w:t>
      </w:r>
      <w:r w:rsidR="00AE5E07" w:rsidRPr="0050354E">
        <w:rPr>
          <w:rFonts w:ascii="Palatino Linotype" w:hAnsi="Palatino Linotype" w:cs="Arial"/>
          <w:sz w:val="22"/>
          <w:szCs w:val="22"/>
        </w:rPr>
        <w:t xml:space="preserve">alone tenant and they maintained that there was no breach of section 16(1)(a) and (b) of the 2016 Act. </w:t>
      </w:r>
    </w:p>
    <w:p w14:paraId="53BBD577" w14:textId="77777777" w:rsidR="00981382" w:rsidRPr="0050354E" w:rsidRDefault="00981382" w:rsidP="008F7224">
      <w:pPr>
        <w:pStyle w:val="ListParagraph"/>
        <w:spacing w:line="480" w:lineRule="auto"/>
        <w:ind w:left="0"/>
        <w:rPr>
          <w:rFonts w:ascii="Palatino Linotype" w:hAnsi="Palatino Linotype" w:cs="Arial"/>
          <w:sz w:val="22"/>
          <w:szCs w:val="22"/>
        </w:rPr>
      </w:pPr>
    </w:p>
    <w:p w14:paraId="67F92858" w14:textId="77777777" w:rsidR="00981382" w:rsidRPr="008F7224" w:rsidRDefault="00405139" w:rsidP="008F7224">
      <w:pPr>
        <w:pStyle w:val="ListParagraph"/>
        <w:keepNext/>
        <w:spacing w:line="480" w:lineRule="auto"/>
        <w:ind w:left="0"/>
        <w:rPr>
          <w:rFonts w:ascii="Palatino Linotype" w:hAnsi="Palatino Linotype" w:cs="Arial"/>
          <w:b/>
          <w:i/>
          <w:sz w:val="22"/>
          <w:szCs w:val="22"/>
        </w:rPr>
      </w:pPr>
      <w:r w:rsidRPr="008F7224">
        <w:rPr>
          <w:rFonts w:ascii="Palatino Linotype" w:hAnsi="Palatino Linotype" w:cs="Arial"/>
          <w:b/>
          <w:i/>
          <w:sz w:val="22"/>
          <w:szCs w:val="22"/>
        </w:rPr>
        <w:t>The a</w:t>
      </w:r>
      <w:r w:rsidR="00981382" w:rsidRPr="008F7224">
        <w:rPr>
          <w:rFonts w:ascii="Palatino Linotype" w:hAnsi="Palatino Linotype" w:cs="Arial"/>
          <w:b/>
          <w:i/>
          <w:sz w:val="22"/>
          <w:szCs w:val="22"/>
        </w:rPr>
        <w:t>ppellant</w:t>
      </w:r>
      <w:r w:rsidR="00707CDC" w:rsidRPr="008F7224">
        <w:rPr>
          <w:rFonts w:ascii="Palatino Linotype" w:hAnsi="Palatino Linotype" w:cs="Arial"/>
          <w:b/>
          <w:i/>
          <w:sz w:val="22"/>
          <w:szCs w:val="22"/>
        </w:rPr>
        <w:t xml:space="preserve">’s </w:t>
      </w:r>
      <w:r w:rsidR="00930704" w:rsidRPr="008F7224">
        <w:rPr>
          <w:rFonts w:ascii="Palatino Linotype" w:hAnsi="Palatino Linotype" w:cs="Arial"/>
          <w:b/>
          <w:i/>
          <w:sz w:val="22"/>
          <w:szCs w:val="22"/>
        </w:rPr>
        <w:t xml:space="preserve">supplementary </w:t>
      </w:r>
      <w:r w:rsidR="00707CDC" w:rsidRPr="008F7224">
        <w:rPr>
          <w:rFonts w:ascii="Palatino Linotype" w:hAnsi="Palatino Linotype" w:cs="Arial"/>
          <w:b/>
          <w:i/>
          <w:sz w:val="22"/>
          <w:szCs w:val="22"/>
        </w:rPr>
        <w:t>submission</w:t>
      </w:r>
      <w:r w:rsidR="00981382" w:rsidRPr="008F7224">
        <w:rPr>
          <w:rFonts w:ascii="Palatino Linotype" w:hAnsi="Palatino Linotype" w:cs="Arial"/>
          <w:b/>
          <w:i/>
          <w:sz w:val="22"/>
          <w:szCs w:val="22"/>
        </w:rPr>
        <w:t xml:space="preserve"> </w:t>
      </w:r>
    </w:p>
    <w:p w14:paraId="5C8DAA4F" w14:textId="16815926" w:rsidR="00707CDC" w:rsidRPr="0050354E" w:rsidRDefault="00402F5E"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T</w:t>
      </w:r>
      <w:r w:rsidR="00930704" w:rsidRPr="0050354E">
        <w:rPr>
          <w:rFonts w:ascii="Palatino Linotype" w:hAnsi="Palatino Linotype" w:cs="Arial"/>
          <w:sz w:val="22"/>
          <w:szCs w:val="22"/>
        </w:rPr>
        <w:t>h</w:t>
      </w:r>
      <w:r w:rsidRPr="0050354E">
        <w:rPr>
          <w:rFonts w:ascii="Palatino Linotype" w:hAnsi="Palatino Linotype" w:cs="Arial"/>
          <w:sz w:val="22"/>
          <w:szCs w:val="22"/>
        </w:rPr>
        <w:t>e appellant’s</w:t>
      </w:r>
      <w:r w:rsidR="00930704" w:rsidRPr="0050354E">
        <w:rPr>
          <w:rFonts w:ascii="Palatino Linotype" w:hAnsi="Palatino Linotype" w:cs="Arial"/>
          <w:sz w:val="22"/>
          <w:szCs w:val="22"/>
        </w:rPr>
        <w:t xml:space="preserve"> </w:t>
      </w:r>
      <w:r w:rsidRPr="0050354E">
        <w:rPr>
          <w:rFonts w:ascii="Palatino Linotype" w:hAnsi="Palatino Linotype" w:cs="Arial"/>
          <w:sz w:val="22"/>
          <w:szCs w:val="22"/>
        </w:rPr>
        <w:t xml:space="preserve">submission </w:t>
      </w:r>
      <w:r w:rsidR="00587A1C">
        <w:rPr>
          <w:rFonts w:ascii="Palatino Linotype" w:hAnsi="Palatino Linotype" w:cs="Arial"/>
          <w:sz w:val="22"/>
          <w:szCs w:val="22"/>
        </w:rPr>
        <w:t>is lengthy but i</w:t>
      </w:r>
      <w:r w:rsidR="00930704" w:rsidRPr="0050354E">
        <w:rPr>
          <w:rFonts w:ascii="Palatino Linotype" w:hAnsi="Palatino Linotype" w:cs="Arial"/>
          <w:sz w:val="22"/>
          <w:szCs w:val="22"/>
        </w:rPr>
        <w:t xml:space="preserve">s printed in very small font which is difficult to read. </w:t>
      </w:r>
      <w:r w:rsidR="00F6342E" w:rsidRPr="0050354E">
        <w:rPr>
          <w:rFonts w:ascii="Palatino Linotype" w:hAnsi="Palatino Linotype" w:cs="Arial"/>
          <w:sz w:val="22"/>
          <w:szCs w:val="22"/>
        </w:rPr>
        <w:t>A substantial p</w:t>
      </w:r>
      <w:r w:rsidRPr="0050354E">
        <w:rPr>
          <w:rFonts w:ascii="Palatino Linotype" w:hAnsi="Palatino Linotype" w:cs="Arial"/>
          <w:sz w:val="22"/>
          <w:szCs w:val="22"/>
        </w:rPr>
        <w:t xml:space="preserve">art of the submission is </w:t>
      </w:r>
      <w:r w:rsidR="00F6342E" w:rsidRPr="0050354E">
        <w:rPr>
          <w:rFonts w:ascii="Palatino Linotype" w:hAnsi="Palatino Linotype" w:cs="Arial"/>
          <w:sz w:val="22"/>
          <w:szCs w:val="22"/>
        </w:rPr>
        <w:t>irrelevant</w:t>
      </w:r>
      <w:r w:rsidR="00587A1C">
        <w:rPr>
          <w:rFonts w:ascii="Palatino Linotype" w:hAnsi="Palatino Linotype" w:cs="Arial"/>
          <w:sz w:val="22"/>
          <w:szCs w:val="22"/>
        </w:rPr>
        <w:t xml:space="preserve"> to the issues that arise in the appeal but</w:t>
      </w:r>
      <w:r w:rsidR="00983429" w:rsidRPr="0050354E">
        <w:rPr>
          <w:rFonts w:ascii="Palatino Linotype" w:hAnsi="Palatino Linotype" w:cs="Arial"/>
          <w:sz w:val="22"/>
          <w:szCs w:val="22"/>
        </w:rPr>
        <w:t xml:space="preserve"> </w:t>
      </w:r>
      <w:r w:rsidR="00AC4632">
        <w:rPr>
          <w:rFonts w:ascii="Palatino Linotype" w:hAnsi="Palatino Linotype" w:cs="Arial"/>
          <w:sz w:val="22"/>
          <w:szCs w:val="22"/>
        </w:rPr>
        <w:t xml:space="preserve">at </w:t>
      </w:r>
      <w:r w:rsidR="00983429" w:rsidRPr="0050354E">
        <w:rPr>
          <w:rFonts w:ascii="Palatino Linotype" w:hAnsi="Palatino Linotype" w:cs="Arial"/>
          <w:sz w:val="22"/>
          <w:szCs w:val="22"/>
        </w:rPr>
        <w:t>paragr</w:t>
      </w:r>
      <w:r w:rsidR="00930704" w:rsidRPr="0050354E">
        <w:rPr>
          <w:rFonts w:ascii="Palatino Linotype" w:hAnsi="Palatino Linotype" w:cs="Arial"/>
          <w:sz w:val="22"/>
          <w:szCs w:val="22"/>
        </w:rPr>
        <w:t>a</w:t>
      </w:r>
      <w:r w:rsidR="00983429" w:rsidRPr="0050354E">
        <w:rPr>
          <w:rFonts w:ascii="Palatino Linotype" w:hAnsi="Palatino Linotype" w:cs="Arial"/>
          <w:sz w:val="22"/>
          <w:szCs w:val="22"/>
        </w:rPr>
        <w:t>ph</w:t>
      </w:r>
      <w:r w:rsidR="00930704" w:rsidRPr="0050354E">
        <w:rPr>
          <w:rFonts w:ascii="Palatino Linotype" w:hAnsi="Palatino Linotype" w:cs="Arial"/>
          <w:sz w:val="22"/>
          <w:szCs w:val="22"/>
        </w:rPr>
        <w:t xml:space="preserve"> 1</w:t>
      </w:r>
      <w:r w:rsidR="00983429" w:rsidRPr="0050354E">
        <w:rPr>
          <w:rFonts w:ascii="Palatino Linotype" w:hAnsi="Palatino Linotype" w:cs="Arial"/>
          <w:sz w:val="22"/>
          <w:szCs w:val="22"/>
        </w:rPr>
        <w:t>2</w:t>
      </w:r>
      <w:r w:rsidR="00930704" w:rsidRPr="0050354E">
        <w:rPr>
          <w:rFonts w:ascii="Palatino Linotype" w:hAnsi="Palatino Linotype" w:cs="Arial"/>
          <w:sz w:val="22"/>
          <w:szCs w:val="22"/>
        </w:rPr>
        <w:t xml:space="preserve"> the appellant</w:t>
      </w:r>
      <w:r w:rsidR="00983429" w:rsidRPr="0050354E">
        <w:rPr>
          <w:rFonts w:ascii="Palatino Linotype" w:hAnsi="Palatino Linotype" w:cs="Arial"/>
          <w:sz w:val="22"/>
          <w:szCs w:val="22"/>
        </w:rPr>
        <w:t xml:space="preserve"> </w:t>
      </w:r>
      <w:r w:rsidR="00587A1C">
        <w:rPr>
          <w:rFonts w:ascii="Palatino Linotype" w:hAnsi="Palatino Linotype" w:cs="Arial"/>
          <w:sz w:val="22"/>
          <w:szCs w:val="22"/>
        </w:rPr>
        <w:t>st</w:t>
      </w:r>
      <w:r w:rsidR="00983429" w:rsidRPr="0050354E">
        <w:rPr>
          <w:rFonts w:ascii="Palatino Linotype" w:hAnsi="Palatino Linotype" w:cs="Arial"/>
          <w:sz w:val="22"/>
          <w:szCs w:val="22"/>
        </w:rPr>
        <w:t>a</w:t>
      </w:r>
      <w:r w:rsidR="00587A1C">
        <w:rPr>
          <w:rFonts w:ascii="Palatino Linotype" w:hAnsi="Palatino Linotype" w:cs="Arial"/>
          <w:sz w:val="22"/>
          <w:szCs w:val="22"/>
        </w:rPr>
        <w:t>t</w:t>
      </w:r>
      <w:r w:rsidR="00983429" w:rsidRPr="0050354E">
        <w:rPr>
          <w:rFonts w:ascii="Palatino Linotype" w:hAnsi="Palatino Linotype" w:cs="Arial"/>
          <w:sz w:val="22"/>
          <w:szCs w:val="22"/>
        </w:rPr>
        <w:t xml:space="preserve">es that she considers that this Tribunal should decide the appeal in her favour because the terms of section 2(4) </w:t>
      </w:r>
      <w:r w:rsidR="00587A1C">
        <w:rPr>
          <w:rFonts w:ascii="Palatino Linotype" w:hAnsi="Palatino Linotype" w:cs="Arial"/>
          <w:sz w:val="22"/>
          <w:szCs w:val="22"/>
        </w:rPr>
        <w:t xml:space="preserve">of the 2016 Act </w:t>
      </w:r>
      <w:r w:rsidR="00983429" w:rsidRPr="0050354E">
        <w:rPr>
          <w:rFonts w:ascii="Palatino Linotype" w:hAnsi="Palatino Linotype" w:cs="Arial"/>
          <w:sz w:val="22"/>
          <w:szCs w:val="22"/>
        </w:rPr>
        <w:t>mean that the</w:t>
      </w:r>
      <w:r w:rsidR="00F6342E" w:rsidRPr="0050354E">
        <w:rPr>
          <w:rFonts w:ascii="Palatino Linotype" w:hAnsi="Palatino Linotype" w:cs="Arial"/>
          <w:sz w:val="22"/>
          <w:szCs w:val="22"/>
        </w:rPr>
        <w:t xml:space="preserve"> agreement between her and the respondents </w:t>
      </w:r>
      <w:r w:rsidR="00983429" w:rsidRPr="0050354E">
        <w:rPr>
          <w:rFonts w:ascii="Palatino Linotype" w:hAnsi="Palatino Linotype" w:cs="Arial"/>
          <w:sz w:val="22"/>
          <w:szCs w:val="22"/>
        </w:rPr>
        <w:t>is a PRT</w:t>
      </w:r>
      <w:r w:rsidR="00AE5E07" w:rsidRPr="0050354E">
        <w:rPr>
          <w:rFonts w:ascii="Palatino Linotype" w:hAnsi="Palatino Linotype" w:cs="Arial"/>
          <w:sz w:val="22"/>
          <w:szCs w:val="22"/>
        </w:rPr>
        <w:t xml:space="preserve">.  </w:t>
      </w:r>
    </w:p>
    <w:p w14:paraId="41CB7995" w14:textId="77777777" w:rsidR="00981382" w:rsidRPr="0050354E" w:rsidRDefault="00981382" w:rsidP="008F7224">
      <w:pPr>
        <w:pStyle w:val="ListParagraph"/>
        <w:spacing w:line="480" w:lineRule="auto"/>
        <w:ind w:left="0"/>
        <w:rPr>
          <w:rFonts w:ascii="Palatino Linotype" w:hAnsi="Palatino Linotype" w:cs="Arial"/>
          <w:sz w:val="22"/>
          <w:szCs w:val="22"/>
        </w:rPr>
      </w:pPr>
    </w:p>
    <w:p w14:paraId="36041DA6" w14:textId="77777777" w:rsidR="00981382" w:rsidRPr="008F7224" w:rsidRDefault="00981382" w:rsidP="008F7224">
      <w:pPr>
        <w:pStyle w:val="ListParagraph"/>
        <w:keepNext/>
        <w:spacing w:line="480" w:lineRule="auto"/>
        <w:ind w:left="0"/>
        <w:rPr>
          <w:rFonts w:ascii="Palatino Linotype" w:hAnsi="Palatino Linotype" w:cs="Arial"/>
          <w:b/>
          <w:i/>
          <w:sz w:val="22"/>
          <w:szCs w:val="22"/>
        </w:rPr>
      </w:pPr>
      <w:r w:rsidRPr="008F7224">
        <w:rPr>
          <w:rFonts w:ascii="Palatino Linotype" w:hAnsi="Palatino Linotype" w:cs="Arial"/>
          <w:b/>
          <w:i/>
          <w:sz w:val="22"/>
          <w:szCs w:val="22"/>
        </w:rPr>
        <w:t>Reasons for Decision</w:t>
      </w:r>
    </w:p>
    <w:p w14:paraId="27D16C0D" w14:textId="77777777" w:rsidR="006E75FA" w:rsidRPr="0050354E" w:rsidRDefault="0048798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 xml:space="preserve">The </w:t>
      </w:r>
      <w:r w:rsidR="00402F5E" w:rsidRPr="0050354E">
        <w:rPr>
          <w:rFonts w:ascii="Palatino Linotype" w:hAnsi="Palatino Linotype" w:cs="Arial"/>
          <w:sz w:val="22"/>
          <w:szCs w:val="22"/>
          <w:lang w:val="en-GB"/>
        </w:rPr>
        <w:t xml:space="preserve">PRT is a creation of </w:t>
      </w:r>
      <w:r w:rsidR="005E40B5" w:rsidRPr="0050354E">
        <w:rPr>
          <w:rFonts w:ascii="Palatino Linotype" w:hAnsi="Palatino Linotype" w:cs="Arial"/>
          <w:sz w:val="22"/>
          <w:szCs w:val="22"/>
          <w:lang w:val="en-GB"/>
        </w:rPr>
        <w:t xml:space="preserve">the </w:t>
      </w:r>
      <w:r w:rsidR="00402F5E" w:rsidRPr="0050354E">
        <w:rPr>
          <w:rFonts w:ascii="Palatino Linotype" w:hAnsi="Palatino Linotype" w:cs="Arial"/>
          <w:sz w:val="22"/>
          <w:szCs w:val="22"/>
          <w:lang w:val="en-GB"/>
        </w:rPr>
        <w:t xml:space="preserve">2016 Act. </w:t>
      </w:r>
      <w:r w:rsidR="006E75FA" w:rsidRPr="0050354E">
        <w:rPr>
          <w:rFonts w:ascii="Palatino Linotype" w:hAnsi="Palatino Linotype" w:cs="Arial"/>
          <w:sz w:val="22"/>
          <w:szCs w:val="22"/>
          <w:lang w:val="en-GB"/>
        </w:rPr>
        <w:t xml:space="preserve">Section 1(1) provides as follows </w:t>
      </w:r>
    </w:p>
    <w:p w14:paraId="1111E63F" w14:textId="426D6792" w:rsidR="006E75FA" w:rsidRPr="0050354E" w:rsidRDefault="00BD7462" w:rsidP="00BD7462">
      <w:pPr>
        <w:pStyle w:val="ListParagraph"/>
        <w:rPr>
          <w:rFonts w:ascii="Palatino Linotype" w:hAnsi="Palatino Linotype" w:cs="Arial"/>
          <w:sz w:val="22"/>
          <w:szCs w:val="22"/>
        </w:rPr>
      </w:pPr>
      <w:r>
        <w:rPr>
          <w:rFonts w:ascii="Palatino Linotype" w:hAnsi="Palatino Linotype" w:cs="Arial"/>
          <w:sz w:val="22"/>
          <w:szCs w:val="22"/>
        </w:rPr>
        <w:t>“(1)</w:t>
      </w:r>
      <w:r>
        <w:rPr>
          <w:rFonts w:ascii="Palatino Linotype" w:hAnsi="Palatino Linotype" w:cs="Arial"/>
          <w:sz w:val="22"/>
          <w:szCs w:val="22"/>
        </w:rPr>
        <w:tab/>
      </w:r>
      <w:r w:rsidR="006E75FA" w:rsidRPr="0050354E">
        <w:rPr>
          <w:rFonts w:ascii="Palatino Linotype" w:hAnsi="Palatino Linotype" w:cs="Arial"/>
          <w:sz w:val="22"/>
          <w:szCs w:val="22"/>
        </w:rPr>
        <w:t>A tenancy is a private residential tenancy where—</w:t>
      </w:r>
    </w:p>
    <w:p w14:paraId="76BAA77F" w14:textId="7AA3D9FC" w:rsidR="006E75FA" w:rsidRPr="0050354E" w:rsidRDefault="00BD7462" w:rsidP="00BD7462">
      <w:pPr>
        <w:pStyle w:val="ListParagraph"/>
        <w:rPr>
          <w:rFonts w:ascii="Palatino Linotype" w:hAnsi="Palatino Linotype" w:cs="Arial"/>
          <w:sz w:val="22"/>
          <w:szCs w:val="22"/>
        </w:rPr>
      </w:pPr>
      <w:r>
        <w:rPr>
          <w:rFonts w:ascii="Palatino Linotype" w:hAnsi="Palatino Linotype" w:cs="Arial"/>
          <w:sz w:val="22"/>
          <w:szCs w:val="22"/>
        </w:rPr>
        <w:t>(a)</w:t>
      </w:r>
      <w:r>
        <w:rPr>
          <w:rFonts w:ascii="Palatino Linotype" w:hAnsi="Palatino Linotype" w:cs="Arial"/>
          <w:sz w:val="22"/>
          <w:szCs w:val="22"/>
        </w:rPr>
        <w:tab/>
      </w:r>
      <w:r w:rsidR="006E75FA" w:rsidRPr="0050354E">
        <w:rPr>
          <w:rFonts w:ascii="Palatino Linotype" w:hAnsi="Palatino Linotype" w:cs="Arial"/>
          <w:sz w:val="22"/>
          <w:szCs w:val="22"/>
        </w:rPr>
        <w:t>the tenancy is one under which a property is let to an individual (“the tenant”) as a separate dwelling,</w:t>
      </w:r>
    </w:p>
    <w:p w14:paraId="71B89E35" w14:textId="1C2F036E" w:rsidR="006E75FA" w:rsidRPr="0050354E" w:rsidRDefault="00BD7462" w:rsidP="00BD7462">
      <w:pPr>
        <w:pStyle w:val="ListParagraph"/>
        <w:rPr>
          <w:rFonts w:ascii="Palatino Linotype" w:hAnsi="Palatino Linotype" w:cs="Arial"/>
          <w:sz w:val="22"/>
          <w:szCs w:val="22"/>
        </w:rPr>
      </w:pPr>
      <w:r>
        <w:rPr>
          <w:rFonts w:ascii="Palatino Linotype" w:hAnsi="Palatino Linotype" w:cs="Arial"/>
          <w:sz w:val="22"/>
          <w:szCs w:val="22"/>
        </w:rPr>
        <w:t>(b</w:t>
      </w:r>
      <w:r>
        <w:rPr>
          <w:rFonts w:ascii="Palatino Linotype" w:hAnsi="Palatino Linotype" w:cs="Arial"/>
          <w:sz w:val="22"/>
          <w:szCs w:val="22"/>
        </w:rPr>
        <w:tab/>
      </w:r>
      <w:r w:rsidR="006E75FA" w:rsidRPr="0050354E">
        <w:rPr>
          <w:rFonts w:ascii="Palatino Linotype" w:hAnsi="Palatino Linotype" w:cs="Arial"/>
          <w:sz w:val="22"/>
          <w:szCs w:val="22"/>
        </w:rPr>
        <w:t xml:space="preserve"> the tenant occupies the property (or any part of it) as the tenant's only or principal home, and</w:t>
      </w:r>
    </w:p>
    <w:p w14:paraId="529A46D2" w14:textId="36B2D29C" w:rsidR="006E75FA" w:rsidRDefault="00BD7462" w:rsidP="00BD7462">
      <w:pPr>
        <w:pStyle w:val="ListParagraph"/>
        <w:rPr>
          <w:rFonts w:ascii="Palatino Linotype" w:hAnsi="Palatino Linotype" w:cs="Arial"/>
          <w:sz w:val="22"/>
          <w:szCs w:val="22"/>
        </w:rPr>
      </w:pPr>
      <w:r>
        <w:rPr>
          <w:rFonts w:ascii="Palatino Linotype" w:hAnsi="Palatino Linotype" w:cs="Arial"/>
          <w:sz w:val="22"/>
          <w:szCs w:val="22"/>
        </w:rPr>
        <w:t>(c)</w:t>
      </w:r>
      <w:r>
        <w:rPr>
          <w:rFonts w:ascii="Palatino Linotype" w:hAnsi="Palatino Linotype" w:cs="Arial"/>
          <w:sz w:val="22"/>
          <w:szCs w:val="22"/>
        </w:rPr>
        <w:tab/>
      </w:r>
      <w:r w:rsidR="006E75FA" w:rsidRPr="0050354E">
        <w:rPr>
          <w:rFonts w:ascii="Palatino Linotype" w:hAnsi="Palatino Linotype" w:cs="Arial"/>
          <w:sz w:val="22"/>
          <w:szCs w:val="22"/>
        </w:rPr>
        <w:t>the tenancy is not one which schedule 1 states cannot be a private residential tenancy.”</w:t>
      </w:r>
    </w:p>
    <w:p w14:paraId="05466AAA" w14:textId="77777777" w:rsidR="008C5713" w:rsidRPr="0050354E" w:rsidRDefault="008C5713" w:rsidP="008C5713">
      <w:pPr>
        <w:pStyle w:val="ListParagraph"/>
        <w:spacing w:line="480" w:lineRule="auto"/>
        <w:rPr>
          <w:rFonts w:ascii="Palatino Linotype" w:hAnsi="Palatino Linotype" w:cs="Arial"/>
          <w:sz w:val="22"/>
          <w:szCs w:val="22"/>
        </w:rPr>
      </w:pPr>
    </w:p>
    <w:p w14:paraId="0BD2A4E2" w14:textId="77777777" w:rsidR="006E75FA" w:rsidRPr="0050354E" w:rsidRDefault="006E75FA" w:rsidP="008F7224">
      <w:pPr>
        <w:pStyle w:val="ListParagraph"/>
        <w:spacing w:line="480" w:lineRule="auto"/>
        <w:ind w:left="0"/>
        <w:rPr>
          <w:rFonts w:ascii="Palatino Linotype" w:hAnsi="Palatino Linotype" w:cs="Arial"/>
          <w:sz w:val="22"/>
          <w:szCs w:val="22"/>
        </w:rPr>
      </w:pPr>
      <w:r w:rsidRPr="0050354E">
        <w:rPr>
          <w:rFonts w:ascii="Palatino Linotype" w:hAnsi="Palatino Linotype" w:cs="Arial"/>
          <w:sz w:val="22"/>
          <w:szCs w:val="22"/>
        </w:rPr>
        <w:t xml:space="preserve">Section 2 </w:t>
      </w:r>
      <w:r w:rsidR="00D76880" w:rsidRPr="0050354E">
        <w:rPr>
          <w:rFonts w:ascii="Palatino Linotype" w:hAnsi="Palatino Linotype" w:cs="Arial"/>
          <w:sz w:val="22"/>
          <w:szCs w:val="22"/>
        </w:rPr>
        <w:t>provides: -</w:t>
      </w:r>
    </w:p>
    <w:p w14:paraId="2B0C35C3" w14:textId="521638CB" w:rsidR="00D76880" w:rsidRPr="0050354E" w:rsidRDefault="00D76880" w:rsidP="008C5713">
      <w:pPr>
        <w:pStyle w:val="ListParagraph"/>
        <w:rPr>
          <w:rFonts w:ascii="Palatino Linotype" w:hAnsi="Palatino Linotype" w:cs="Arial"/>
          <w:sz w:val="22"/>
          <w:szCs w:val="22"/>
        </w:rPr>
      </w:pPr>
      <w:r w:rsidRPr="0050354E">
        <w:rPr>
          <w:rFonts w:ascii="Palatino Linotype" w:hAnsi="Palatino Linotype" w:cs="Arial"/>
          <w:sz w:val="22"/>
          <w:szCs w:val="22"/>
        </w:rPr>
        <w:t>“(1)</w:t>
      </w:r>
      <w:r w:rsidR="008C5713">
        <w:rPr>
          <w:rFonts w:ascii="Palatino Linotype" w:hAnsi="Palatino Linotype" w:cs="Arial"/>
          <w:sz w:val="22"/>
          <w:szCs w:val="22"/>
        </w:rPr>
        <w:tab/>
      </w:r>
      <w:r w:rsidRPr="0050354E">
        <w:rPr>
          <w:rFonts w:ascii="Palatino Linotype" w:hAnsi="Palatino Linotype" w:cs="Arial"/>
          <w:sz w:val="22"/>
          <w:szCs w:val="22"/>
        </w:rPr>
        <w:t>This section makes provision about the interpretation of section 1.</w:t>
      </w:r>
    </w:p>
    <w:p w14:paraId="0E775482" w14:textId="3C06F473" w:rsidR="00D76880" w:rsidRPr="0050354E" w:rsidRDefault="008C5713" w:rsidP="008C5713">
      <w:pPr>
        <w:pStyle w:val="ListParagraph"/>
        <w:rPr>
          <w:rFonts w:ascii="Palatino Linotype" w:hAnsi="Palatino Linotype" w:cs="Arial"/>
          <w:sz w:val="22"/>
          <w:szCs w:val="22"/>
        </w:rPr>
      </w:pPr>
      <w:r>
        <w:rPr>
          <w:rFonts w:ascii="Palatino Linotype" w:hAnsi="Palatino Linotype" w:cs="Arial"/>
          <w:sz w:val="22"/>
          <w:szCs w:val="22"/>
        </w:rPr>
        <w:t>(2)</w:t>
      </w:r>
      <w:r>
        <w:rPr>
          <w:rFonts w:ascii="Palatino Linotype" w:hAnsi="Palatino Linotype" w:cs="Arial"/>
          <w:sz w:val="22"/>
          <w:szCs w:val="22"/>
        </w:rPr>
        <w:tab/>
      </w:r>
      <w:r w:rsidR="00D76880" w:rsidRPr="0050354E">
        <w:rPr>
          <w:rFonts w:ascii="Palatino Linotype" w:hAnsi="Palatino Linotype" w:cs="Arial"/>
          <w:sz w:val="22"/>
          <w:szCs w:val="22"/>
        </w:rPr>
        <w:t>A tenancy is to be regarded as one under which a property is let to an individual notwithstanding that it is let jointly to an individual, or individuals, and another person.</w:t>
      </w:r>
    </w:p>
    <w:p w14:paraId="12F1AA77" w14:textId="201E471F" w:rsidR="00D76880" w:rsidRPr="0050354E" w:rsidRDefault="008C5713" w:rsidP="008C5713">
      <w:pPr>
        <w:pStyle w:val="ListParagraph"/>
        <w:rPr>
          <w:rFonts w:ascii="Palatino Linotype" w:hAnsi="Palatino Linotype" w:cs="Arial"/>
          <w:sz w:val="22"/>
          <w:szCs w:val="22"/>
        </w:rPr>
      </w:pPr>
      <w:r>
        <w:rPr>
          <w:rFonts w:ascii="Palatino Linotype" w:hAnsi="Palatino Linotype" w:cs="Arial"/>
          <w:sz w:val="22"/>
          <w:szCs w:val="22"/>
        </w:rPr>
        <w:t>(3)</w:t>
      </w:r>
      <w:r>
        <w:rPr>
          <w:rFonts w:ascii="Palatino Linotype" w:hAnsi="Palatino Linotype" w:cs="Arial"/>
          <w:sz w:val="22"/>
          <w:szCs w:val="22"/>
        </w:rPr>
        <w:tab/>
      </w:r>
      <w:r w:rsidR="00D76880" w:rsidRPr="0050354E">
        <w:rPr>
          <w:rFonts w:ascii="Palatino Linotype" w:hAnsi="Palatino Linotype" w:cs="Arial"/>
          <w:sz w:val="22"/>
          <w:szCs w:val="22"/>
        </w:rPr>
        <w:t>A tenancy is to be regarded as one under which a property is let as a separate dwelling, despite the let property including other land, where the main purpose for letting the property is to provide the tenant with a home.</w:t>
      </w:r>
    </w:p>
    <w:p w14:paraId="5C254349" w14:textId="57939890" w:rsidR="00D76880" w:rsidRPr="0050354E" w:rsidRDefault="008C5713" w:rsidP="008C5713">
      <w:pPr>
        <w:pStyle w:val="ListParagraph"/>
        <w:rPr>
          <w:rFonts w:ascii="Palatino Linotype" w:hAnsi="Palatino Linotype" w:cs="Arial"/>
          <w:sz w:val="22"/>
          <w:szCs w:val="22"/>
        </w:rPr>
      </w:pPr>
      <w:r>
        <w:rPr>
          <w:rFonts w:ascii="Palatino Linotype" w:hAnsi="Palatino Linotype" w:cs="Arial"/>
          <w:sz w:val="22"/>
          <w:szCs w:val="22"/>
        </w:rPr>
        <w:t>(4)</w:t>
      </w:r>
      <w:r>
        <w:rPr>
          <w:rFonts w:ascii="Palatino Linotype" w:hAnsi="Palatino Linotype" w:cs="Arial"/>
          <w:sz w:val="22"/>
          <w:szCs w:val="22"/>
        </w:rPr>
        <w:tab/>
      </w:r>
      <w:r w:rsidR="00D76880" w:rsidRPr="0050354E">
        <w:rPr>
          <w:rFonts w:ascii="Palatino Linotype" w:hAnsi="Palatino Linotype" w:cs="Arial"/>
          <w:sz w:val="22"/>
          <w:szCs w:val="22"/>
        </w:rPr>
        <w:t>A tenancy is to be regarded as one under which a property is let as a separate dwelling if, despite the let property lacking certain features or facilities—</w:t>
      </w:r>
    </w:p>
    <w:p w14:paraId="1C93403B" w14:textId="0FBBB509" w:rsidR="00D76880" w:rsidRPr="0050354E" w:rsidRDefault="008C5713" w:rsidP="008C5713">
      <w:pPr>
        <w:pStyle w:val="ListParagraph"/>
        <w:rPr>
          <w:rFonts w:ascii="Palatino Linotype" w:hAnsi="Palatino Linotype" w:cs="Arial"/>
          <w:sz w:val="22"/>
          <w:szCs w:val="22"/>
        </w:rPr>
      </w:pPr>
      <w:r>
        <w:rPr>
          <w:rFonts w:ascii="Palatino Linotype" w:hAnsi="Palatino Linotype" w:cs="Arial"/>
          <w:sz w:val="22"/>
          <w:szCs w:val="22"/>
        </w:rPr>
        <w:t>(a)</w:t>
      </w:r>
      <w:r>
        <w:rPr>
          <w:rFonts w:ascii="Palatino Linotype" w:hAnsi="Palatino Linotype" w:cs="Arial"/>
          <w:sz w:val="22"/>
          <w:szCs w:val="22"/>
        </w:rPr>
        <w:tab/>
      </w:r>
      <w:r w:rsidR="00D76880" w:rsidRPr="0050354E">
        <w:rPr>
          <w:rFonts w:ascii="Palatino Linotype" w:hAnsi="Palatino Linotype" w:cs="Arial"/>
          <w:sz w:val="22"/>
          <w:szCs w:val="22"/>
        </w:rPr>
        <w:t>the terms of the tenancy entitle the tenant to use property in common with another person (“shared accommodation”), and</w:t>
      </w:r>
    </w:p>
    <w:p w14:paraId="5813E2CF" w14:textId="2DB36991" w:rsidR="00D76880" w:rsidRPr="0050354E" w:rsidRDefault="008C5713" w:rsidP="008C5713">
      <w:pPr>
        <w:pStyle w:val="ListParagraph"/>
        <w:rPr>
          <w:rFonts w:ascii="Palatino Linotype" w:hAnsi="Palatino Linotype" w:cs="Arial"/>
          <w:sz w:val="22"/>
          <w:szCs w:val="22"/>
        </w:rPr>
      </w:pPr>
      <w:r>
        <w:rPr>
          <w:rFonts w:ascii="Palatino Linotype" w:hAnsi="Palatino Linotype" w:cs="Arial"/>
          <w:sz w:val="22"/>
          <w:szCs w:val="22"/>
        </w:rPr>
        <w:t>(b)</w:t>
      </w:r>
      <w:r>
        <w:rPr>
          <w:rFonts w:ascii="Palatino Linotype" w:hAnsi="Palatino Linotype" w:cs="Arial"/>
          <w:sz w:val="22"/>
          <w:szCs w:val="22"/>
        </w:rPr>
        <w:tab/>
      </w:r>
      <w:r w:rsidR="00D76880" w:rsidRPr="0050354E">
        <w:rPr>
          <w:rFonts w:ascii="Palatino Linotype" w:hAnsi="Palatino Linotype" w:cs="Arial"/>
          <w:sz w:val="22"/>
          <w:szCs w:val="22"/>
        </w:rPr>
        <w:t>the let property would be regarded as a separate dwelling were it to include some or all of the shared accommodation.”</w:t>
      </w:r>
    </w:p>
    <w:p w14:paraId="0DF11511" w14:textId="77777777" w:rsidR="001A70AB" w:rsidRPr="0050354E" w:rsidRDefault="001A70AB" w:rsidP="008C5713">
      <w:pPr>
        <w:pStyle w:val="ListParagraph"/>
        <w:rPr>
          <w:rFonts w:ascii="Palatino Linotype" w:hAnsi="Palatino Linotype" w:cs="Arial"/>
          <w:sz w:val="22"/>
          <w:szCs w:val="22"/>
        </w:rPr>
      </w:pPr>
    </w:p>
    <w:p w14:paraId="74C1D5EF" w14:textId="4D4BEE4F" w:rsidR="00D76880" w:rsidRPr="0050354E" w:rsidRDefault="001A70AB" w:rsidP="008F7224">
      <w:pPr>
        <w:pStyle w:val="ListParagraph"/>
        <w:spacing w:line="480" w:lineRule="auto"/>
        <w:ind w:left="0"/>
        <w:rPr>
          <w:rFonts w:ascii="Palatino Linotype" w:hAnsi="Palatino Linotype" w:cs="Arial"/>
          <w:sz w:val="22"/>
          <w:szCs w:val="22"/>
        </w:rPr>
      </w:pPr>
      <w:r w:rsidRPr="0050354E">
        <w:rPr>
          <w:rFonts w:ascii="Palatino Linotype" w:hAnsi="Palatino Linotype" w:cs="Arial"/>
          <w:sz w:val="22"/>
          <w:szCs w:val="22"/>
        </w:rPr>
        <w:t>Section 4 provides for an extended meaning of ten</w:t>
      </w:r>
      <w:r w:rsidR="008C5713">
        <w:rPr>
          <w:rFonts w:ascii="Palatino Linotype" w:hAnsi="Palatino Linotype" w:cs="Arial"/>
          <w:sz w:val="22"/>
          <w:szCs w:val="22"/>
        </w:rPr>
        <w:t xml:space="preserve">ancy. In particular it states: </w:t>
      </w:r>
    </w:p>
    <w:p w14:paraId="4B392AD5" w14:textId="77777777" w:rsidR="001A70AB" w:rsidRPr="0050354E" w:rsidRDefault="001A70AB" w:rsidP="008C5713">
      <w:pPr>
        <w:pStyle w:val="ListParagraph"/>
        <w:rPr>
          <w:rFonts w:ascii="Palatino Linotype" w:hAnsi="Palatino Linotype" w:cs="Arial"/>
          <w:sz w:val="22"/>
          <w:szCs w:val="22"/>
        </w:rPr>
      </w:pPr>
      <w:r w:rsidRPr="0050354E">
        <w:rPr>
          <w:rFonts w:ascii="Palatino Linotype" w:hAnsi="Palatino Linotype" w:cs="Arial"/>
          <w:sz w:val="22"/>
          <w:szCs w:val="22"/>
        </w:rPr>
        <w:t>“For the purposes of this Act—</w:t>
      </w:r>
    </w:p>
    <w:p w14:paraId="6B2D14B4" w14:textId="1E8D8B35" w:rsidR="001A70AB" w:rsidRPr="0050354E" w:rsidRDefault="001A70AB" w:rsidP="008C5713">
      <w:pPr>
        <w:pStyle w:val="ListParagraph"/>
        <w:rPr>
          <w:rFonts w:ascii="Palatino Linotype" w:hAnsi="Palatino Linotype" w:cs="Arial"/>
          <w:sz w:val="22"/>
          <w:szCs w:val="22"/>
        </w:rPr>
      </w:pPr>
      <w:r w:rsidRPr="0050354E">
        <w:rPr>
          <w:rFonts w:ascii="Palatino Linotype" w:hAnsi="Palatino Linotype" w:cs="Arial"/>
          <w:sz w:val="22"/>
          <w:szCs w:val="22"/>
        </w:rPr>
        <w:t>(a)</w:t>
      </w:r>
      <w:r w:rsidR="008C5713">
        <w:rPr>
          <w:rFonts w:ascii="Palatino Linotype" w:hAnsi="Palatino Linotype" w:cs="Arial"/>
          <w:sz w:val="22"/>
          <w:szCs w:val="22"/>
        </w:rPr>
        <w:tab/>
      </w:r>
      <w:r w:rsidRPr="0050354E">
        <w:rPr>
          <w:rFonts w:ascii="Palatino Linotype" w:hAnsi="Palatino Linotype" w:cs="Arial"/>
          <w:sz w:val="22"/>
          <w:szCs w:val="22"/>
        </w:rPr>
        <w:t>if an agreement would give rise to a tenancy but for the fact that it does not specify an ish, it is to be regarded as giving rise to a tenancy,”</w:t>
      </w:r>
    </w:p>
    <w:p w14:paraId="3B8029BD" w14:textId="77777777" w:rsidR="006E75FA" w:rsidRPr="0050354E" w:rsidRDefault="006E75FA" w:rsidP="008C5713">
      <w:pPr>
        <w:pStyle w:val="ListParagraph"/>
        <w:rPr>
          <w:rFonts w:ascii="Palatino Linotype" w:hAnsi="Palatino Linotype" w:cs="Arial"/>
          <w:sz w:val="22"/>
          <w:szCs w:val="22"/>
          <w:lang w:val="en-GB"/>
        </w:rPr>
      </w:pPr>
    </w:p>
    <w:p w14:paraId="3ECE0450" w14:textId="13828C0D" w:rsidR="005332EE" w:rsidRPr="0050354E" w:rsidRDefault="00402F5E"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 xml:space="preserve">The PRT is designed to strike a balance between the interests of tenant and landlord. Some types of tenancy are excluded from classification as a PRT - for example a student let or where there is a resident landlord. Certain statutory requirements must exist before a tenancy can be a PRT. If those requirements are not met, the tenancy is not a PRT. It may, however, be different type of tenancy, such as a tenancy at common law, or a regulated tenancy, or an assured tenancy, depending on date and circumstances of formation. Different rights and duties will arise. In the present case, the appellant seeks certain remedies under the 2016 Act. </w:t>
      </w:r>
      <w:r w:rsidR="00212D91" w:rsidRPr="0050354E">
        <w:rPr>
          <w:rFonts w:ascii="Palatino Linotype" w:hAnsi="Palatino Linotype" w:cs="Arial"/>
          <w:sz w:val="22"/>
          <w:szCs w:val="22"/>
          <w:lang w:val="en-GB"/>
        </w:rPr>
        <w:t>Whether she can do so de</w:t>
      </w:r>
      <w:r w:rsidR="00212D91">
        <w:rPr>
          <w:rFonts w:ascii="Palatino Linotype" w:hAnsi="Palatino Linotype" w:cs="Arial"/>
          <w:sz w:val="22"/>
          <w:szCs w:val="22"/>
          <w:lang w:val="en-GB"/>
        </w:rPr>
        <w:t>pends on whether she is</w:t>
      </w:r>
      <w:r w:rsidR="00212D91" w:rsidRPr="0050354E">
        <w:rPr>
          <w:rFonts w:ascii="Palatino Linotype" w:hAnsi="Palatino Linotype" w:cs="Arial"/>
          <w:sz w:val="22"/>
          <w:szCs w:val="22"/>
          <w:lang w:val="en-GB"/>
        </w:rPr>
        <w:t xml:space="preserve"> </w:t>
      </w:r>
      <w:r w:rsidR="00212D91">
        <w:rPr>
          <w:rFonts w:ascii="Palatino Linotype" w:hAnsi="Palatino Linotype" w:cs="Arial"/>
          <w:sz w:val="22"/>
          <w:szCs w:val="22"/>
          <w:lang w:val="en-GB"/>
        </w:rPr>
        <w:t xml:space="preserve">a </w:t>
      </w:r>
      <w:r w:rsidR="00212D91" w:rsidRPr="0050354E">
        <w:rPr>
          <w:rFonts w:ascii="Palatino Linotype" w:hAnsi="Palatino Linotype" w:cs="Arial"/>
          <w:sz w:val="22"/>
          <w:szCs w:val="22"/>
          <w:lang w:val="en-GB"/>
        </w:rPr>
        <w:t>part</w:t>
      </w:r>
      <w:r w:rsidR="00212D91">
        <w:rPr>
          <w:rFonts w:ascii="Palatino Linotype" w:hAnsi="Palatino Linotype" w:cs="Arial"/>
          <w:sz w:val="22"/>
          <w:szCs w:val="22"/>
          <w:lang w:val="en-GB"/>
        </w:rPr>
        <w:t>y</w:t>
      </w:r>
      <w:r w:rsidR="00212D91" w:rsidRPr="0050354E">
        <w:rPr>
          <w:rFonts w:ascii="Palatino Linotype" w:hAnsi="Palatino Linotype" w:cs="Arial"/>
          <w:sz w:val="22"/>
          <w:szCs w:val="22"/>
          <w:lang w:val="en-GB"/>
        </w:rPr>
        <w:t xml:space="preserve"> to a PRT. </w:t>
      </w:r>
      <w:r w:rsidR="00AC4632">
        <w:rPr>
          <w:rFonts w:ascii="Palatino Linotype" w:hAnsi="Palatino Linotype" w:cs="Arial"/>
          <w:sz w:val="22"/>
          <w:szCs w:val="22"/>
          <w:lang w:val="en-GB"/>
        </w:rPr>
        <w:t>T</w:t>
      </w:r>
      <w:r w:rsidR="007E35CF" w:rsidRPr="0050354E">
        <w:rPr>
          <w:rFonts w:ascii="Palatino Linotype" w:hAnsi="Palatino Linotype" w:cs="Arial"/>
          <w:sz w:val="22"/>
          <w:szCs w:val="22"/>
          <w:lang w:val="en-GB"/>
        </w:rPr>
        <w:t>he following points</w:t>
      </w:r>
      <w:r w:rsidR="005332EE" w:rsidRPr="0050354E">
        <w:rPr>
          <w:rFonts w:ascii="Palatino Linotype" w:hAnsi="Palatino Linotype" w:cs="Arial"/>
          <w:sz w:val="22"/>
          <w:szCs w:val="22"/>
          <w:lang w:val="en-GB"/>
        </w:rPr>
        <w:t xml:space="preserve"> emerge</w:t>
      </w:r>
      <w:r w:rsidR="00AC4632">
        <w:rPr>
          <w:rFonts w:ascii="Palatino Linotype" w:hAnsi="Palatino Linotype" w:cs="Arial"/>
          <w:sz w:val="22"/>
          <w:szCs w:val="22"/>
          <w:lang w:val="en-GB"/>
        </w:rPr>
        <w:t xml:space="preserve"> from </w:t>
      </w:r>
      <w:r w:rsidR="00DD5775">
        <w:rPr>
          <w:rFonts w:ascii="Palatino Linotype" w:hAnsi="Palatino Linotype" w:cs="Arial"/>
          <w:sz w:val="22"/>
          <w:szCs w:val="22"/>
          <w:lang w:val="en-GB"/>
        </w:rPr>
        <w:t>the</w:t>
      </w:r>
      <w:r w:rsidR="00AC4632">
        <w:rPr>
          <w:rFonts w:ascii="Palatino Linotype" w:hAnsi="Palatino Linotype" w:cs="Arial"/>
          <w:sz w:val="22"/>
          <w:szCs w:val="22"/>
          <w:lang w:val="en-GB"/>
        </w:rPr>
        <w:t xml:space="preserve"> judgement of the F</w:t>
      </w:r>
      <w:r w:rsidR="00AC4632" w:rsidRPr="0050354E">
        <w:rPr>
          <w:rFonts w:ascii="Palatino Linotype" w:hAnsi="Palatino Linotype" w:cs="Arial"/>
          <w:sz w:val="22"/>
          <w:szCs w:val="22"/>
          <w:lang w:val="en-GB"/>
        </w:rPr>
        <w:t>tT dated 15 January 2019</w:t>
      </w:r>
      <w:r w:rsidR="005332EE" w:rsidRPr="0050354E">
        <w:rPr>
          <w:rFonts w:ascii="Palatino Linotype" w:hAnsi="Palatino Linotype" w:cs="Arial"/>
          <w:sz w:val="22"/>
          <w:szCs w:val="22"/>
          <w:lang w:val="en-GB"/>
        </w:rPr>
        <w:t xml:space="preserve">. </w:t>
      </w:r>
    </w:p>
    <w:p w14:paraId="06A2FD9F" w14:textId="77777777" w:rsidR="005332EE" w:rsidRPr="0050354E" w:rsidRDefault="00405139"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The appellant moved into a flat in Edinburgh on 1 January 2018. She was one of four residents, and replaced an outgoing resident. The flat is owned by the respondents. She did not meet the outgoing tenant. She entered into email correspondence with the respondents, and was sent various details, such as a tenant’s handbook and information about the tenancy deposit scheme. The emails included a “New Tenant Registration Form.Doc”, which gave the respondents’ bank details and sort code, and gave a date of transfer of the first day of each month, and stated a rent amount of £350 per month.</w:t>
      </w:r>
    </w:p>
    <w:p w14:paraId="310712C1" w14:textId="1D400ECD" w:rsidR="005332EE" w:rsidRPr="0050354E" w:rsidRDefault="00405139"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 xml:space="preserve">No tenancy agreement was ever provided, but the appellant duly resided in the flat for several months, paying monthly rental, without incident or dispute. She moved room within the flat during this period. The respondents maintained, by their own admission, a lax regime, and did not provide a written lease. </w:t>
      </w:r>
    </w:p>
    <w:p w14:paraId="4DBBA01E" w14:textId="77777777" w:rsidR="005332EE" w:rsidRPr="0050354E" w:rsidRDefault="00405139"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In about August 2018 a dispute arose. One of the existing tenants moved out and another person moved in. That new tenant asked for a tenancy agreement (as the appellant had done previously, without response). The respondents belatedly supplied a draft tenancy agreement for the appellant to sign.</w:t>
      </w:r>
    </w:p>
    <w:p w14:paraId="741B981E" w14:textId="77777777" w:rsidR="005332EE" w:rsidRPr="0050354E" w:rsidRDefault="00405139"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At that stage it emerged that the respondents and appellant had quite a different idea of what arrangements existed. The respondents claimed that the appellant was jointly and severally liable for the entire rent of the flat. The appellant, not surprisingly, baulked at that suggestion, which had never previously featured in correspondence between the parties.</w:t>
      </w:r>
    </w:p>
    <w:p w14:paraId="79A3F823" w14:textId="77777777" w:rsidR="005332EE" w:rsidRPr="0050354E" w:rsidRDefault="00405139"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The respondents tried to create what was, on the evidence, a legal fiction. They claimed that the appellant was bound by a joint and several lease which had been assigned to her by her predecessor. This position was entirely unstateable – not only could they not produce any such lease, but the predecessor (tracked down by the appellant) denied any assignation had taken place. The respondents produced only an unsigned draft of a lease form from 2012, which they claimed was the lease referred to. Bizarrely, that lease form expressly forbade any assignation without consent. They could produce no such consent. They claimed there was a “rolling lease”, but could not produce one. Their correspondence with the appellant did not mention joint and several liability. In legal terms their position was incoherent.</w:t>
      </w:r>
      <w:r w:rsidR="005332EE" w:rsidRPr="0050354E">
        <w:rPr>
          <w:rFonts w:ascii="Palatino Linotype" w:hAnsi="Palatino Linotype" w:cs="Arial"/>
          <w:sz w:val="22"/>
          <w:szCs w:val="22"/>
          <w:lang w:val="en-GB"/>
        </w:rPr>
        <w:t xml:space="preserve"> </w:t>
      </w:r>
    </w:p>
    <w:p w14:paraId="3E7E1FAC" w14:textId="4338B8E1" w:rsidR="005332EE" w:rsidRPr="0050354E" w:rsidRDefault="00405139"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 xml:space="preserve">Quite why a tenant would willingly assume, or why it was fair to impose, liability for the unpaid debts of complete strangers, was not explained in evidence. </w:t>
      </w:r>
      <w:r w:rsidR="001B7288" w:rsidRPr="0050354E">
        <w:rPr>
          <w:rFonts w:ascii="Palatino Linotype" w:hAnsi="Palatino Linotype" w:cs="Arial"/>
          <w:sz w:val="22"/>
          <w:szCs w:val="22"/>
          <w:lang w:val="en-GB"/>
        </w:rPr>
        <w:t xml:space="preserve"> The respondents have t</w:t>
      </w:r>
      <w:r w:rsidR="00E72C78" w:rsidRPr="0050354E">
        <w:rPr>
          <w:rFonts w:ascii="Palatino Linotype" w:hAnsi="Palatino Linotype" w:cs="Arial"/>
          <w:sz w:val="22"/>
          <w:szCs w:val="22"/>
          <w:lang w:val="en-GB"/>
        </w:rPr>
        <w:t>r</w:t>
      </w:r>
      <w:r w:rsidR="001B7288" w:rsidRPr="0050354E">
        <w:rPr>
          <w:rFonts w:ascii="Palatino Linotype" w:hAnsi="Palatino Linotype" w:cs="Arial"/>
          <w:sz w:val="22"/>
          <w:szCs w:val="22"/>
          <w:lang w:val="en-GB"/>
        </w:rPr>
        <w:t>ied as</w:t>
      </w:r>
      <w:r w:rsidRPr="0050354E">
        <w:rPr>
          <w:rFonts w:ascii="Palatino Linotype" w:hAnsi="Palatino Linotype" w:cs="Arial"/>
          <w:sz w:val="22"/>
          <w:szCs w:val="22"/>
          <w:lang w:val="en-GB"/>
        </w:rPr>
        <w:t xml:space="preserve"> landlord</w:t>
      </w:r>
      <w:r w:rsidR="001B7288" w:rsidRPr="0050354E">
        <w:rPr>
          <w:rFonts w:ascii="Palatino Linotype" w:hAnsi="Palatino Linotype" w:cs="Arial"/>
          <w:sz w:val="22"/>
          <w:szCs w:val="22"/>
          <w:lang w:val="en-GB"/>
        </w:rPr>
        <w:t>s</w:t>
      </w:r>
      <w:r w:rsidRPr="0050354E">
        <w:rPr>
          <w:rFonts w:ascii="Palatino Linotype" w:hAnsi="Palatino Linotype" w:cs="Arial"/>
          <w:sz w:val="22"/>
          <w:szCs w:val="22"/>
          <w:lang w:val="en-GB"/>
        </w:rPr>
        <w:t xml:space="preserve"> to force a tenant, for no other reason than that they share a living space, to pay the rent of non-paying third party co-tenants. That po</w:t>
      </w:r>
      <w:r w:rsidR="005332EE" w:rsidRPr="0050354E">
        <w:rPr>
          <w:rFonts w:ascii="Palatino Linotype" w:hAnsi="Palatino Linotype" w:cs="Arial"/>
          <w:sz w:val="22"/>
          <w:szCs w:val="22"/>
          <w:lang w:val="en-GB"/>
        </w:rPr>
        <w:t xml:space="preserve">sition verges on the oppressive. </w:t>
      </w:r>
    </w:p>
    <w:p w14:paraId="020461C0" w14:textId="77777777" w:rsidR="00405139" w:rsidRPr="0050354E" w:rsidRDefault="00405139"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There followed five separate draft tenancy agreements, four of which sought to impose joint and several liability. The appellant, understandably, signed none of them, as they all represented one-sided attempts to increase her exposure to liability. Only the fifth draft attempted to identify what part of the flat the appellant would occupy.</w:t>
      </w:r>
    </w:p>
    <w:p w14:paraId="5376E63B" w14:textId="23D023AA" w:rsidR="00BC3C7B" w:rsidRPr="0050354E" w:rsidRDefault="00B56DBD"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The FtT</w:t>
      </w:r>
      <w:r w:rsidR="00405139" w:rsidRPr="0050354E">
        <w:rPr>
          <w:rFonts w:ascii="Palatino Linotype" w:hAnsi="Palatino Linotype" w:cs="Arial"/>
          <w:sz w:val="22"/>
          <w:szCs w:val="22"/>
          <w:lang w:val="en-GB"/>
        </w:rPr>
        <w:t xml:space="preserve"> made “findings in fact” which are largely not findings in fact</w:t>
      </w:r>
      <w:r w:rsidR="001B7288" w:rsidRPr="0050354E">
        <w:rPr>
          <w:rFonts w:ascii="Palatino Linotype" w:hAnsi="Palatino Linotype" w:cs="Arial"/>
          <w:sz w:val="22"/>
          <w:szCs w:val="22"/>
          <w:lang w:val="en-GB"/>
        </w:rPr>
        <w:t xml:space="preserve">. </w:t>
      </w:r>
      <w:r w:rsidR="00AE5E07" w:rsidRPr="0050354E">
        <w:rPr>
          <w:rFonts w:ascii="Palatino Linotype" w:hAnsi="Palatino Linotype" w:cs="Arial"/>
          <w:sz w:val="22"/>
          <w:szCs w:val="22"/>
          <w:lang w:val="en-GB"/>
        </w:rPr>
        <w:t>T</w:t>
      </w:r>
      <w:r w:rsidR="001B7288" w:rsidRPr="0050354E">
        <w:rPr>
          <w:rFonts w:ascii="Palatino Linotype" w:hAnsi="Palatino Linotype" w:cs="Arial"/>
          <w:sz w:val="22"/>
          <w:szCs w:val="22"/>
          <w:lang w:val="en-GB"/>
        </w:rPr>
        <w:t xml:space="preserve">he </w:t>
      </w:r>
      <w:r w:rsidR="00405139" w:rsidRPr="0050354E">
        <w:rPr>
          <w:rFonts w:ascii="Palatino Linotype" w:hAnsi="Palatino Linotype" w:cs="Arial"/>
          <w:sz w:val="22"/>
          <w:szCs w:val="22"/>
          <w:lang w:val="en-GB"/>
        </w:rPr>
        <w:t>comment</w:t>
      </w:r>
      <w:r w:rsidR="001B7288" w:rsidRPr="0050354E">
        <w:rPr>
          <w:rFonts w:ascii="Palatino Linotype" w:hAnsi="Palatino Linotype" w:cs="Arial"/>
          <w:sz w:val="22"/>
          <w:szCs w:val="22"/>
          <w:lang w:val="en-GB"/>
        </w:rPr>
        <w:t xml:space="preserve">s made </w:t>
      </w:r>
      <w:r w:rsidR="005E19BA" w:rsidRPr="0050354E">
        <w:rPr>
          <w:rFonts w:ascii="Palatino Linotype" w:hAnsi="Palatino Linotype" w:cs="Arial"/>
          <w:sz w:val="22"/>
          <w:szCs w:val="22"/>
          <w:lang w:val="en-GB"/>
        </w:rPr>
        <w:t xml:space="preserve">by </w:t>
      </w:r>
      <w:r w:rsidR="007E35CF" w:rsidRPr="0050354E">
        <w:rPr>
          <w:rFonts w:ascii="Palatino Linotype" w:hAnsi="Palatino Linotype" w:cs="Arial"/>
          <w:sz w:val="22"/>
          <w:szCs w:val="22"/>
          <w:lang w:val="en-GB"/>
        </w:rPr>
        <w:t>th</w:t>
      </w:r>
      <w:r w:rsidR="00703773">
        <w:rPr>
          <w:rFonts w:ascii="Palatino Linotype" w:hAnsi="Palatino Linotype" w:cs="Arial"/>
          <w:sz w:val="22"/>
          <w:szCs w:val="22"/>
          <w:lang w:val="en-GB"/>
        </w:rPr>
        <w:t>is</w:t>
      </w:r>
      <w:r w:rsidR="007E35CF" w:rsidRPr="0050354E">
        <w:rPr>
          <w:rFonts w:ascii="Palatino Linotype" w:hAnsi="Palatino Linotype" w:cs="Arial"/>
          <w:sz w:val="22"/>
          <w:szCs w:val="22"/>
        </w:rPr>
        <w:t xml:space="preserve"> Tribunal </w:t>
      </w:r>
      <w:r w:rsidRPr="0050354E">
        <w:rPr>
          <w:rFonts w:ascii="Palatino Linotype" w:hAnsi="Palatino Linotype" w:cs="Arial"/>
          <w:sz w:val="22"/>
          <w:szCs w:val="22"/>
          <w:lang w:val="en-GB"/>
        </w:rPr>
        <w:t xml:space="preserve">in paragraphs 21 to 24 </w:t>
      </w:r>
      <w:r w:rsidR="005E19BA" w:rsidRPr="0050354E">
        <w:rPr>
          <w:rFonts w:ascii="Palatino Linotype" w:hAnsi="Palatino Linotype" w:cs="Arial"/>
          <w:sz w:val="22"/>
          <w:szCs w:val="22"/>
          <w:lang w:val="en-GB"/>
        </w:rPr>
        <w:t xml:space="preserve">of </w:t>
      </w:r>
      <w:r w:rsidR="00703773">
        <w:rPr>
          <w:rFonts w:ascii="Palatino Linotype" w:hAnsi="Palatino Linotype" w:cs="Arial"/>
          <w:sz w:val="22"/>
          <w:szCs w:val="22"/>
          <w:lang w:val="en-GB"/>
        </w:rPr>
        <w:t>t</w:t>
      </w:r>
      <w:r w:rsidR="005E19BA" w:rsidRPr="0050354E">
        <w:rPr>
          <w:rFonts w:ascii="Palatino Linotype" w:hAnsi="Palatino Linotype" w:cs="Arial"/>
          <w:sz w:val="22"/>
          <w:szCs w:val="22"/>
          <w:lang w:val="en-GB"/>
        </w:rPr>
        <w:t>h</w:t>
      </w:r>
      <w:r w:rsidR="00703773">
        <w:rPr>
          <w:rFonts w:ascii="Palatino Linotype" w:hAnsi="Palatino Linotype" w:cs="Arial"/>
          <w:sz w:val="22"/>
          <w:szCs w:val="22"/>
          <w:lang w:val="en-GB"/>
        </w:rPr>
        <w:t>e</w:t>
      </w:r>
      <w:r w:rsidR="005E19BA" w:rsidRPr="0050354E">
        <w:rPr>
          <w:rFonts w:ascii="Palatino Linotype" w:hAnsi="Palatino Linotype" w:cs="Arial"/>
          <w:sz w:val="22"/>
          <w:szCs w:val="22"/>
          <w:lang w:val="en-GB"/>
        </w:rPr>
        <w:t xml:space="preserve"> decision</w:t>
      </w:r>
      <w:r w:rsidR="00AE5E07" w:rsidRPr="0050354E">
        <w:rPr>
          <w:rFonts w:ascii="Palatino Linotype" w:hAnsi="Palatino Linotype" w:cs="Arial"/>
          <w:sz w:val="22"/>
          <w:szCs w:val="22"/>
          <w:lang w:val="en-GB"/>
        </w:rPr>
        <w:t xml:space="preserve"> </w:t>
      </w:r>
      <w:r w:rsidR="00E151BA">
        <w:rPr>
          <w:rFonts w:ascii="Palatino Linotype" w:hAnsi="Palatino Linotype" w:cs="Arial"/>
          <w:sz w:val="22"/>
          <w:szCs w:val="22"/>
          <w:lang w:val="en-GB"/>
        </w:rPr>
        <w:t xml:space="preserve">of 9 September 2019 </w:t>
      </w:r>
      <w:r w:rsidR="00AE5E07" w:rsidRPr="0050354E">
        <w:rPr>
          <w:rFonts w:ascii="Palatino Linotype" w:hAnsi="Palatino Linotype" w:cs="Arial"/>
          <w:sz w:val="22"/>
          <w:szCs w:val="22"/>
          <w:lang w:val="en-GB"/>
        </w:rPr>
        <w:t>explain the ways in which they were defective</w:t>
      </w:r>
      <w:r w:rsidR="005E19BA" w:rsidRPr="0050354E">
        <w:rPr>
          <w:rFonts w:ascii="Palatino Linotype" w:hAnsi="Palatino Linotype" w:cs="Arial"/>
          <w:sz w:val="22"/>
          <w:szCs w:val="22"/>
          <w:lang w:val="en-GB"/>
        </w:rPr>
        <w:t xml:space="preserve">. </w:t>
      </w:r>
      <w:r w:rsidRPr="0050354E">
        <w:rPr>
          <w:rFonts w:ascii="Palatino Linotype" w:hAnsi="Palatino Linotype" w:cs="Arial"/>
          <w:sz w:val="22"/>
          <w:szCs w:val="22"/>
          <w:lang w:val="en-GB"/>
        </w:rPr>
        <w:t>The FtT</w:t>
      </w:r>
      <w:r w:rsidR="00405139" w:rsidRPr="0050354E">
        <w:rPr>
          <w:rFonts w:ascii="Palatino Linotype" w:hAnsi="Palatino Linotype" w:cs="Arial"/>
          <w:sz w:val="22"/>
          <w:szCs w:val="22"/>
          <w:lang w:val="en-GB"/>
        </w:rPr>
        <w:t xml:space="preserve"> proceeded to find that, contrary to the appellant’s position, there was not a PRT in place between the parties. It found that the parties had not agreed the rent, or who was the tenant, or the subjects.</w:t>
      </w:r>
      <w:r w:rsidR="00BC3C7B" w:rsidRPr="0050354E">
        <w:rPr>
          <w:rFonts w:ascii="Palatino Linotype" w:hAnsi="Palatino Linotype" w:cs="Arial"/>
          <w:sz w:val="22"/>
          <w:szCs w:val="22"/>
          <w:lang w:val="en-GB"/>
        </w:rPr>
        <w:t xml:space="preserve"> </w:t>
      </w:r>
      <w:r w:rsidR="00AE5E07" w:rsidRPr="0050354E">
        <w:rPr>
          <w:rFonts w:ascii="Palatino Linotype" w:hAnsi="Palatino Linotype" w:cs="Arial"/>
          <w:sz w:val="22"/>
          <w:szCs w:val="22"/>
          <w:lang w:val="en-GB"/>
        </w:rPr>
        <w:t>T</w:t>
      </w:r>
      <w:r w:rsidR="00657CD6" w:rsidRPr="0050354E">
        <w:rPr>
          <w:rFonts w:ascii="Palatino Linotype" w:hAnsi="Palatino Linotype" w:cs="Arial"/>
          <w:sz w:val="22"/>
          <w:szCs w:val="22"/>
          <w:lang w:val="en-GB"/>
        </w:rPr>
        <w:t xml:space="preserve">hese points </w:t>
      </w:r>
      <w:r w:rsidR="00AE5E07" w:rsidRPr="0050354E">
        <w:rPr>
          <w:rFonts w:ascii="Palatino Linotype" w:hAnsi="Palatino Linotype" w:cs="Arial"/>
          <w:sz w:val="22"/>
          <w:szCs w:val="22"/>
          <w:lang w:val="en-GB"/>
        </w:rPr>
        <w:t xml:space="preserve">are dealt with </w:t>
      </w:r>
      <w:r w:rsidR="00657CD6" w:rsidRPr="0050354E">
        <w:rPr>
          <w:rFonts w:ascii="Palatino Linotype" w:hAnsi="Palatino Linotype" w:cs="Arial"/>
          <w:sz w:val="22"/>
          <w:szCs w:val="22"/>
          <w:lang w:val="en-GB"/>
        </w:rPr>
        <w:t>in turn</w:t>
      </w:r>
      <w:r w:rsidR="00AE5E07" w:rsidRPr="0050354E">
        <w:rPr>
          <w:rFonts w:ascii="Palatino Linotype" w:hAnsi="Palatino Linotype" w:cs="Arial"/>
          <w:sz w:val="22"/>
          <w:szCs w:val="22"/>
          <w:lang w:val="en-GB"/>
        </w:rPr>
        <w:t xml:space="preserve"> as follows</w:t>
      </w:r>
      <w:r w:rsidR="00657CD6" w:rsidRPr="0050354E">
        <w:rPr>
          <w:rFonts w:ascii="Palatino Linotype" w:hAnsi="Palatino Linotype" w:cs="Arial"/>
          <w:sz w:val="22"/>
          <w:szCs w:val="22"/>
          <w:lang w:val="en-GB"/>
        </w:rPr>
        <w:t xml:space="preserve">. </w:t>
      </w:r>
    </w:p>
    <w:p w14:paraId="17A8CC9A" w14:textId="77777777" w:rsidR="00BC3C7B" w:rsidRPr="0050354E" w:rsidRDefault="00BC3C7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The FtT found that there was no agreement as to who was the tenant, because the tenant could be solely the appellant, or all four tenants. That was an error, because the correspondence between the parties is clear that the appellant was a stand-alone tenant, and both parties regarded her as such.</w:t>
      </w:r>
    </w:p>
    <w:p w14:paraId="2BD902C5" w14:textId="04F00DA9" w:rsidR="00BC3C7B" w:rsidRPr="0050354E" w:rsidRDefault="00BC3C7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 xml:space="preserve">The FtT found that there was no agreement as to subjects. The appellant regarded herself as the tenant of a part only of the flat. The respondents regarded her (but without ever making that clear) as a joint tenant of the whole flat. Neither side is correct. Notably, the appellant is unable to point to which part of the flat was leased to her, and in fact she moved bedrooms during the tenancy. The respondents are unable to point to correspondence where the appellant agreed a joint tenancy. However, the documents and emails make clear that, whatever parties intended, there was an arrangement, capable of amounting to a lease, of a one-quarter </w:t>
      </w:r>
      <w:r w:rsidRPr="0050354E">
        <w:rPr>
          <w:rFonts w:ascii="Palatino Linotype" w:hAnsi="Palatino Linotype" w:cs="Arial"/>
          <w:i/>
          <w:sz w:val="22"/>
          <w:szCs w:val="22"/>
        </w:rPr>
        <w:t>pro indiviso</w:t>
      </w:r>
      <w:r w:rsidRPr="0050354E">
        <w:rPr>
          <w:rFonts w:ascii="Palatino Linotype" w:hAnsi="Palatino Linotype" w:cs="Arial"/>
          <w:sz w:val="22"/>
          <w:szCs w:val="22"/>
        </w:rPr>
        <w:t xml:space="preserve"> share of the flat. Accordingly, the subjects are capable of being regarded as settled, by construing the plain meaning of the parties’ correspondence</w:t>
      </w:r>
      <w:r w:rsidR="00C01324">
        <w:rPr>
          <w:rFonts w:ascii="Palatino Linotype" w:hAnsi="Palatino Linotype" w:cs="Arial"/>
          <w:sz w:val="22"/>
          <w:szCs w:val="22"/>
        </w:rPr>
        <w:t xml:space="preserve"> and the actions that followed on that correspondence</w:t>
      </w:r>
      <w:r w:rsidRPr="0050354E">
        <w:rPr>
          <w:rFonts w:ascii="Palatino Linotype" w:hAnsi="Palatino Linotype" w:cs="Arial"/>
          <w:sz w:val="22"/>
          <w:szCs w:val="22"/>
        </w:rPr>
        <w:t xml:space="preserve">. The </w:t>
      </w:r>
      <w:r w:rsidR="00703773">
        <w:rPr>
          <w:rFonts w:ascii="Palatino Linotype" w:hAnsi="Palatino Linotype" w:cs="Arial"/>
          <w:sz w:val="22"/>
          <w:szCs w:val="22"/>
        </w:rPr>
        <w:t>FtT</w:t>
      </w:r>
      <w:r w:rsidRPr="0050354E">
        <w:rPr>
          <w:rFonts w:ascii="Palatino Linotype" w:hAnsi="Palatino Linotype" w:cs="Arial"/>
          <w:sz w:val="22"/>
          <w:szCs w:val="22"/>
        </w:rPr>
        <w:t xml:space="preserve"> was in error in considering the subjects were not agreed. Leases, like all contracts, are interpreted according to what people have said and done, not according to their innermost thoughts. </w:t>
      </w:r>
    </w:p>
    <w:p w14:paraId="6588BBAD" w14:textId="1F9ED9D1" w:rsidR="00BC3C7B" w:rsidRPr="0050354E" w:rsidRDefault="00BC3C7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 xml:space="preserve">The third finding made was that there was no true agreement as to rent. The appellant, understandably, thought that her maximum liability for rent was £350 per month. The respondents, privately, thought her minimum liability was £350 but that, at their discretion, they could demand from her £1,400 (everybody’s share) per month. The fact they accepted £350 per month did not alter that understanding. The correspondence, however, had it been analysed by the </w:t>
      </w:r>
      <w:r w:rsidR="00703773">
        <w:rPr>
          <w:rFonts w:ascii="Palatino Linotype" w:hAnsi="Palatino Linotype" w:cs="Arial"/>
          <w:sz w:val="22"/>
          <w:szCs w:val="22"/>
        </w:rPr>
        <w:t>FtT</w:t>
      </w:r>
      <w:r w:rsidRPr="0050354E">
        <w:rPr>
          <w:rFonts w:ascii="Palatino Linotype" w:hAnsi="Palatino Linotype" w:cs="Arial"/>
          <w:sz w:val="22"/>
          <w:szCs w:val="22"/>
        </w:rPr>
        <w:t>, shows that the parties agreed in correspondence that the rent would be £350 per month, whatever the respondents’ private intentions. The rent, therefore, is identified.</w:t>
      </w:r>
    </w:p>
    <w:p w14:paraId="6B04DBD8" w14:textId="77777777" w:rsidR="00BC3C7B" w:rsidRPr="0050354E" w:rsidRDefault="00BC3C7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The duration was not specified, but that does not prevent there being a lease between the parties</w:t>
      </w:r>
      <w:r w:rsidR="00A35D0D" w:rsidRPr="0050354E">
        <w:rPr>
          <w:rFonts w:ascii="Palatino Linotype" w:hAnsi="Palatino Linotype" w:cs="Arial"/>
          <w:sz w:val="22"/>
          <w:szCs w:val="22"/>
        </w:rPr>
        <w:t xml:space="preserve"> at common law</w:t>
      </w:r>
      <w:r w:rsidRPr="0050354E">
        <w:rPr>
          <w:rFonts w:ascii="Palatino Linotype" w:hAnsi="Palatino Linotype" w:cs="Arial"/>
          <w:sz w:val="22"/>
          <w:szCs w:val="22"/>
        </w:rPr>
        <w:t>.</w:t>
      </w:r>
      <w:r w:rsidR="00A35D0D" w:rsidRPr="0050354E">
        <w:rPr>
          <w:rFonts w:ascii="Palatino Linotype" w:hAnsi="Palatino Linotype" w:cs="Arial"/>
          <w:sz w:val="22"/>
          <w:szCs w:val="22"/>
        </w:rPr>
        <w:t xml:space="preserve"> In any event section 4(a) of the 2016 Act expressly provides that duration need not be specified in a PRT. </w:t>
      </w:r>
    </w:p>
    <w:p w14:paraId="388D6BCD" w14:textId="6AAE69B4" w:rsidR="004F759D" w:rsidRPr="0050354E" w:rsidRDefault="00BC3C7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Accordingly, the terms of the parties’ agreement are capable of amounting to a lease.</w:t>
      </w:r>
      <w:r w:rsidR="00A35D0D" w:rsidRPr="0050354E">
        <w:rPr>
          <w:rFonts w:ascii="Palatino Linotype" w:hAnsi="Palatino Linotype" w:cs="Arial"/>
          <w:sz w:val="22"/>
          <w:szCs w:val="22"/>
        </w:rPr>
        <w:t xml:space="preserve"> The three principal elements as to parties, subjects and rent were agreed in this case as at the date the appellant moved in. </w:t>
      </w:r>
      <w:r w:rsidR="00703773">
        <w:rPr>
          <w:rFonts w:ascii="Palatino Linotype" w:hAnsi="Palatino Linotype" w:cs="Arial"/>
          <w:sz w:val="22"/>
          <w:szCs w:val="22"/>
        </w:rPr>
        <w:t>The FtT</w:t>
      </w:r>
      <w:r w:rsidRPr="0050354E">
        <w:rPr>
          <w:rFonts w:ascii="Palatino Linotype" w:hAnsi="Palatino Linotype" w:cs="Arial"/>
          <w:sz w:val="22"/>
          <w:szCs w:val="22"/>
        </w:rPr>
        <w:t xml:space="preserve"> erred in finding otherwise. </w:t>
      </w:r>
      <w:r w:rsidR="004E578B" w:rsidRPr="0050354E">
        <w:rPr>
          <w:rFonts w:ascii="Palatino Linotype" w:hAnsi="Palatino Linotype" w:cs="Arial"/>
          <w:sz w:val="22"/>
          <w:szCs w:val="22"/>
        </w:rPr>
        <w:t xml:space="preserve">There was a later limited </w:t>
      </w:r>
      <w:r w:rsidR="004E578B">
        <w:rPr>
          <w:rFonts w:ascii="Palatino Linotype" w:hAnsi="Palatino Linotype" w:cs="Arial"/>
          <w:sz w:val="22"/>
          <w:szCs w:val="22"/>
        </w:rPr>
        <w:t>adjustment</w:t>
      </w:r>
      <w:r w:rsidR="004E578B" w:rsidRPr="0050354E">
        <w:rPr>
          <w:rFonts w:ascii="Palatino Linotype" w:hAnsi="Palatino Linotype" w:cs="Arial"/>
          <w:sz w:val="22"/>
          <w:szCs w:val="22"/>
        </w:rPr>
        <w:t xml:space="preserve"> of the contract when some month</w:t>
      </w:r>
      <w:r w:rsidR="004E578B">
        <w:rPr>
          <w:rFonts w:ascii="Palatino Linotype" w:hAnsi="Palatino Linotype" w:cs="Arial"/>
          <w:sz w:val="22"/>
          <w:szCs w:val="22"/>
        </w:rPr>
        <w:t>s later the appellant</w:t>
      </w:r>
      <w:r w:rsidR="004E578B" w:rsidRPr="0050354E">
        <w:rPr>
          <w:rFonts w:ascii="Palatino Linotype" w:hAnsi="Palatino Linotype" w:cs="Arial"/>
          <w:sz w:val="22"/>
          <w:szCs w:val="22"/>
        </w:rPr>
        <w:t xml:space="preserve"> move</w:t>
      </w:r>
      <w:r w:rsidR="004E578B">
        <w:rPr>
          <w:rFonts w:ascii="Palatino Linotype" w:hAnsi="Palatino Linotype" w:cs="Arial"/>
          <w:sz w:val="22"/>
          <w:szCs w:val="22"/>
        </w:rPr>
        <w:t>d</w:t>
      </w:r>
      <w:r w:rsidR="004E578B" w:rsidRPr="0050354E">
        <w:rPr>
          <w:rFonts w:ascii="Palatino Linotype" w:hAnsi="Palatino Linotype" w:cs="Arial"/>
          <w:sz w:val="22"/>
          <w:szCs w:val="22"/>
        </w:rPr>
        <w:t xml:space="preserve"> to occup</w:t>
      </w:r>
      <w:r w:rsidR="004E578B">
        <w:rPr>
          <w:rFonts w:ascii="Palatino Linotype" w:hAnsi="Palatino Linotype" w:cs="Arial"/>
          <w:sz w:val="22"/>
          <w:szCs w:val="22"/>
        </w:rPr>
        <w:t>y exclusively a</w:t>
      </w:r>
      <w:r w:rsidR="004E578B" w:rsidRPr="0050354E">
        <w:rPr>
          <w:rFonts w:ascii="Palatino Linotype" w:hAnsi="Palatino Linotype" w:cs="Arial"/>
          <w:sz w:val="22"/>
          <w:szCs w:val="22"/>
        </w:rPr>
        <w:t xml:space="preserve"> different room </w:t>
      </w:r>
      <w:r w:rsidR="004E578B">
        <w:rPr>
          <w:rFonts w:ascii="Palatino Linotype" w:hAnsi="Palatino Linotype" w:cs="Arial"/>
          <w:sz w:val="22"/>
          <w:szCs w:val="22"/>
        </w:rPr>
        <w:t xml:space="preserve">in the flat </w:t>
      </w:r>
      <w:r w:rsidR="004E578B" w:rsidRPr="0050354E">
        <w:rPr>
          <w:rFonts w:ascii="Palatino Linotype" w:hAnsi="Palatino Linotype" w:cs="Arial"/>
          <w:sz w:val="22"/>
          <w:szCs w:val="22"/>
        </w:rPr>
        <w:t>after another resident moved out</w:t>
      </w:r>
      <w:r w:rsidR="004E578B">
        <w:rPr>
          <w:rFonts w:ascii="Palatino Linotype" w:hAnsi="Palatino Linotype" w:cs="Arial"/>
          <w:sz w:val="22"/>
          <w:szCs w:val="22"/>
        </w:rPr>
        <w:t xml:space="preserve"> but that is not significant for present purposes</w:t>
      </w:r>
      <w:r w:rsidR="004E578B" w:rsidRPr="0050354E">
        <w:rPr>
          <w:rFonts w:ascii="Palatino Linotype" w:hAnsi="Palatino Linotype" w:cs="Arial"/>
          <w:sz w:val="22"/>
          <w:szCs w:val="22"/>
        </w:rPr>
        <w:t>.</w:t>
      </w:r>
      <w:r w:rsidR="004E578B">
        <w:rPr>
          <w:rFonts w:ascii="Palatino Linotype" w:hAnsi="Palatino Linotype" w:cs="Arial"/>
          <w:sz w:val="22"/>
          <w:szCs w:val="22"/>
        </w:rPr>
        <w:t xml:space="preserve"> </w:t>
      </w:r>
      <w:r w:rsidR="00AE5E07" w:rsidRPr="0050354E">
        <w:rPr>
          <w:rFonts w:ascii="Palatino Linotype" w:hAnsi="Palatino Linotype" w:cs="Arial"/>
          <w:sz w:val="22"/>
          <w:szCs w:val="22"/>
        </w:rPr>
        <w:t>It follo</w:t>
      </w:r>
      <w:r w:rsidR="004E578B">
        <w:rPr>
          <w:rFonts w:ascii="Palatino Linotype" w:hAnsi="Palatino Linotype" w:cs="Arial"/>
          <w:sz w:val="22"/>
          <w:szCs w:val="22"/>
        </w:rPr>
        <w:t xml:space="preserve">ws that </w:t>
      </w:r>
      <w:r w:rsidR="00E72C78" w:rsidRPr="0050354E">
        <w:rPr>
          <w:rFonts w:ascii="Palatino Linotype" w:hAnsi="Palatino Linotype" w:cs="Arial"/>
          <w:sz w:val="22"/>
          <w:szCs w:val="22"/>
        </w:rPr>
        <w:t>the respondent</w:t>
      </w:r>
      <w:r w:rsidR="00AE5E07" w:rsidRPr="0050354E">
        <w:rPr>
          <w:rFonts w:ascii="Palatino Linotype" w:hAnsi="Palatino Linotype" w:cs="Arial"/>
          <w:sz w:val="22"/>
          <w:szCs w:val="22"/>
        </w:rPr>
        <w:t>s</w:t>
      </w:r>
      <w:r w:rsidR="00E72C78" w:rsidRPr="0050354E">
        <w:rPr>
          <w:rFonts w:ascii="Palatino Linotype" w:hAnsi="Palatino Linotype" w:cs="Arial"/>
          <w:sz w:val="22"/>
          <w:szCs w:val="22"/>
        </w:rPr>
        <w:t>’</w:t>
      </w:r>
      <w:r w:rsidR="00AE5E07" w:rsidRPr="0050354E">
        <w:rPr>
          <w:rFonts w:ascii="Palatino Linotype" w:hAnsi="Palatino Linotype" w:cs="Arial"/>
          <w:sz w:val="22"/>
          <w:szCs w:val="22"/>
        </w:rPr>
        <w:t xml:space="preserve"> continued insistence that there was not a lease with a stand</w:t>
      </w:r>
      <w:r w:rsidR="00C01324">
        <w:rPr>
          <w:rFonts w:ascii="Palatino Linotype" w:hAnsi="Palatino Linotype" w:cs="Arial"/>
          <w:sz w:val="22"/>
          <w:szCs w:val="22"/>
        </w:rPr>
        <w:t>-</w:t>
      </w:r>
      <w:r w:rsidR="00AE5E07" w:rsidRPr="0050354E">
        <w:rPr>
          <w:rFonts w:ascii="Palatino Linotype" w:hAnsi="Palatino Linotype" w:cs="Arial"/>
          <w:sz w:val="22"/>
          <w:szCs w:val="22"/>
        </w:rPr>
        <w:t>alone tenant</w:t>
      </w:r>
      <w:r w:rsidR="004E578B">
        <w:rPr>
          <w:rFonts w:ascii="Palatino Linotype" w:hAnsi="Palatino Linotype" w:cs="Arial"/>
          <w:sz w:val="22"/>
          <w:szCs w:val="22"/>
        </w:rPr>
        <w:t xml:space="preserve"> is rejected as wrong in fact and law</w:t>
      </w:r>
      <w:r w:rsidR="00AE5E07" w:rsidRPr="0050354E">
        <w:rPr>
          <w:rFonts w:ascii="Palatino Linotype" w:hAnsi="Palatino Linotype" w:cs="Arial"/>
          <w:sz w:val="22"/>
          <w:szCs w:val="22"/>
        </w:rPr>
        <w:t xml:space="preserve">. </w:t>
      </w:r>
    </w:p>
    <w:p w14:paraId="6493E00E" w14:textId="77777777" w:rsidR="003D65E4" w:rsidRDefault="00BC3C7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 xml:space="preserve">The question, however, is not </w:t>
      </w:r>
      <w:r w:rsidR="00AE5E07" w:rsidRPr="0050354E">
        <w:rPr>
          <w:rFonts w:ascii="Palatino Linotype" w:hAnsi="Palatino Linotype" w:cs="Arial"/>
          <w:sz w:val="22"/>
          <w:szCs w:val="22"/>
        </w:rPr>
        <w:t xml:space="preserve">only </w:t>
      </w:r>
      <w:r w:rsidRPr="0050354E">
        <w:rPr>
          <w:rFonts w:ascii="Palatino Linotype" w:hAnsi="Palatino Linotype" w:cs="Arial"/>
          <w:sz w:val="22"/>
          <w:szCs w:val="22"/>
        </w:rPr>
        <w:t xml:space="preserve">whether </w:t>
      </w:r>
      <w:r w:rsidR="00AE5E07" w:rsidRPr="0050354E">
        <w:rPr>
          <w:rFonts w:ascii="Palatino Linotype" w:hAnsi="Palatino Linotype" w:cs="Arial"/>
          <w:sz w:val="22"/>
          <w:szCs w:val="22"/>
        </w:rPr>
        <w:t xml:space="preserve">there </w:t>
      </w:r>
      <w:r w:rsidRPr="0050354E">
        <w:rPr>
          <w:rFonts w:ascii="Palatino Linotype" w:hAnsi="Palatino Linotype" w:cs="Arial"/>
          <w:sz w:val="22"/>
          <w:szCs w:val="22"/>
        </w:rPr>
        <w:t>was a lease</w:t>
      </w:r>
      <w:r w:rsidR="00AE5E07" w:rsidRPr="0050354E">
        <w:rPr>
          <w:rFonts w:ascii="Palatino Linotype" w:hAnsi="Palatino Linotype" w:cs="Arial"/>
          <w:sz w:val="22"/>
          <w:szCs w:val="22"/>
        </w:rPr>
        <w:t xml:space="preserve"> between the parties</w:t>
      </w:r>
      <w:r w:rsidRPr="0050354E">
        <w:rPr>
          <w:rFonts w:ascii="Palatino Linotype" w:hAnsi="Palatino Linotype" w:cs="Arial"/>
          <w:sz w:val="22"/>
          <w:szCs w:val="22"/>
        </w:rPr>
        <w:t>, but whether it was a speci</w:t>
      </w:r>
      <w:r w:rsidR="00710389" w:rsidRPr="0050354E">
        <w:rPr>
          <w:rFonts w:ascii="Palatino Linotype" w:hAnsi="Palatino Linotype" w:cs="Arial"/>
          <w:sz w:val="22"/>
          <w:szCs w:val="22"/>
        </w:rPr>
        <w:t>fic type of lease, namely a PRT</w:t>
      </w:r>
      <w:r w:rsidR="00B8760F" w:rsidRPr="0050354E">
        <w:rPr>
          <w:rFonts w:ascii="Palatino Linotype" w:hAnsi="Palatino Linotype" w:cs="Arial"/>
          <w:sz w:val="22"/>
          <w:szCs w:val="22"/>
        </w:rPr>
        <w:t xml:space="preserve">. The answer to that question depends </w:t>
      </w:r>
      <w:r w:rsidR="00315BB4" w:rsidRPr="0050354E">
        <w:rPr>
          <w:rFonts w:ascii="Palatino Linotype" w:hAnsi="Palatino Linotype" w:cs="Arial"/>
          <w:sz w:val="22"/>
          <w:szCs w:val="22"/>
        </w:rPr>
        <w:t xml:space="preserve">primarily </w:t>
      </w:r>
      <w:r w:rsidR="00B8760F" w:rsidRPr="0050354E">
        <w:rPr>
          <w:rFonts w:ascii="Palatino Linotype" w:hAnsi="Palatino Linotype" w:cs="Arial"/>
          <w:sz w:val="22"/>
          <w:szCs w:val="22"/>
        </w:rPr>
        <w:t xml:space="preserve">on the interpretation of </w:t>
      </w:r>
      <w:r w:rsidR="00315BB4" w:rsidRPr="0050354E">
        <w:rPr>
          <w:rFonts w:ascii="Palatino Linotype" w:hAnsi="Palatino Linotype" w:cs="Arial"/>
          <w:sz w:val="22"/>
          <w:szCs w:val="22"/>
        </w:rPr>
        <w:t xml:space="preserve">sections 1 and 2 </w:t>
      </w:r>
      <w:r w:rsidR="00B8760F" w:rsidRPr="0050354E">
        <w:rPr>
          <w:rFonts w:ascii="Palatino Linotype" w:hAnsi="Palatino Linotype" w:cs="Arial"/>
          <w:sz w:val="22"/>
          <w:szCs w:val="22"/>
        </w:rPr>
        <w:t xml:space="preserve">of the 2016 Act set out above and the application of that interpretation to the facts found. </w:t>
      </w:r>
      <w:r w:rsidR="00135867" w:rsidRPr="0050354E">
        <w:rPr>
          <w:rFonts w:ascii="Palatino Linotype" w:hAnsi="Palatino Linotype" w:cs="Arial"/>
          <w:sz w:val="22"/>
          <w:szCs w:val="22"/>
        </w:rPr>
        <w:t>The flat was let to an individ</w:t>
      </w:r>
      <w:r w:rsidR="00032EF9" w:rsidRPr="0050354E">
        <w:rPr>
          <w:rFonts w:ascii="Palatino Linotype" w:hAnsi="Palatino Linotype" w:cs="Arial"/>
          <w:sz w:val="22"/>
          <w:szCs w:val="22"/>
        </w:rPr>
        <w:t>ual, the appellant for the purp</w:t>
      </w:r>
      <w:r w:rsidR="00135867" w:rsidRPr="0050354E">
        <w:rPr>
          <w:rFonts w:ascii="Palatino Linotype" w:hAnsi="Palatino Linotype" w:cs="Arial"/>
          <w:sz w:val="22"/>
          <w:szCs w:val="22"/>
        </w:rPr>
        <w:t>o</w:t>
      </w:r>
      <w:r w:rsidR="00032EF9" w:rsidRPr="0050354E">
        <w:rPr>
          <w:rFonts w:ascii="Palatino Linotype" w:hAnsi="Palatino Linotype" w:cs="Arial"/>
          <w:sz w:val="22"/>
          <w:szCs w:val="22"/>
        </w:rPr>
        <w:t>s</w:t>
      </w:r>
      <w:r w:rsidR="00135867" w:rsidRPr="0050354E">
        <w:rPr>
          <w:rFonts w:ascii="Palatino Linotype" w:hAnsi="Palatino Linotype" w:cs="Arial"/>
          <w:sz w:val="22"/>
          <w:szCs w:val="22"/>
        </w:rPr>
        <w:t xml:space="preserve">es of section 2(2). </w:t>
      </w:r>
      <w:r w:rsidR="00B8760F" w:rsidRPr="0050354E">
        <w:rPr>
          <w:rFonts w:ascii="Palatino Linotype" w:hAnsi="Palatino Linotype" w:cs="Arial"/>
          <w:sz w:val="22"/>
          <w:szCs w:val="22"/>
        </w:rPr>
        <w:t>Having regard to section 2(3)</w:t>
      </w:r>
      <w:r w:rsidR="000E19CC" w:rsidRPr="0050354E">
        <w:rPr>
          <w:rFonts w:ascii="Palatino Linotype" w:hAnsi="Palatino Linotype" w:cs="Arial"/>
          <w:sz w:val="22"/>
          <w:szCs w:val="22"/>
        </w:rPr>
        <w:t>,</w:t>
      </w:r>
      <w:r w:rsidR="00B8760F" w:rsidRPr="0050354E">
        <w:rPr>
          <w:rFonts w:ascii="Palatino Linotype" w:hAnsi="Palatino Linotype" w:cs="Arial"/>
          <w:sz w:val="22"/>
          <w:szCs w:val="22"/>
        </w:rPr>
        <w:t xml:space="preserve"> the main purpose of the contract was to provide the appellant with a home. The subjects of the le</w:t>
      </w:r>
      <w:r w:rsidR="004B39BC" w:rsidRPr="0050354E">
        <w:rPr>
          <w:rFonts w:ascii="Palatino Linotype" w:hAnsi="Palatino Linotype" w:cs="Arial"/>
          <w:sz w:val="22"/>
          <w:szCs w:val="22"/>
        </w:rPr>
        <w:t>a</w:t>
      </w:r>
      <w:r w:rsidR="00B8760F" w:rsidRPr="0050354E">
        <w:rPr>
          <w:rFonts w:ascii="Palatino Linotype" w:hAnsi="Palatino Linotype" w:cs="Arial"/>
          <w:sz w:val="22"/>
          <w:szCs w:val="22"/>
        </w:rPr>
        <w:t>se</w:t>
      </w:r>
      <w:r w:rsidR="00032EF9" w:rsidRPr="0050354E">
        <w:rPr>
          <w:rFonts w:ascii="Palatino Linotype" w:hAnsi="Palatino Linotype" w:cs="Arial"/>
          <w:sz w:val="22"/>
          <w:szCs w:val="22"/>
        </w:rPr>
        <w:t xml:space="preserve"> include both the exclusive occupation of a room in the flat but also the shared use of a kitchen, living room and bathroom.  This is shared accommodation </w:t>
      </w:r>
      <w:r w:rsidR="00B8760F" w:rsidRPr="0050354E">
        <w:rPr>
          <w:rFonts w:ascii="Palatino Linotype" w:hAnsi="Palatino Linotype" w:cs="Arial"/>
          <w:sz w:val="22"/>
          <w:szCs w:val="22"/>
        </w:rPr>
        <w:t>within the meaning of section 2(4)</w:t>
      </w:r>
      <w:r w:rsidR="004B39BC" w:rsidRPr="0050354E">
        <w:rPr>
          <w:rFonts w:ascii="Palatino Linotype" w:hAnsi="Palatino Linotype" w:cs="Arial"/>
          <w:sz w:val="22"/>
          <w:szCs w:val="22"/>
        </w:rPr>
        <w:t xml:space="preserve"> of the 2016 Act</w:t>
      </w:r>
      <w:r w:rsidR="00B8760F" w:rsidRPr="0050354E">
        <w:rPr>
          <w:rFonts w:ascii="Palatino Linotype" w:hAnsi="Palatino Linotype" w:cs="Arial"/>
          <w:sz w:val="22"/>
          <w:szCs w:val="22"/>
        </w:rPr>
        <w:t xml:space="preserve">. </w:t>
      </w:r>
      <w:r w:rsidR="00032EF9" w:rsidRPr="0050354E">
        <w:rPr>
          <w:rFonts w:ascii="Palatino Linotype" w:hAnsi="Palatino Linotype" w:cs="Arial"/>
          <w:sz w:val="22"/>
          <w:szCs w:val="22"/>
        </w:rPr>
        <w:t xml:space="preserve">The subjects of the lease can properly be regarded as a separate dwelling for the purposes of section 2. </w:t>
      </w:r>
      <w:r w:rsidR="004F759D" w:rsidRPr="0050354E">
        <w:rPr>
          <w:rFonts w:ascii="Palatino Linotype" w:hAnsi="Palatino Linotype" w:cs="Arial"/>
          <w:sz w:val="22"/>
          <w:szCs w:val="22"/>
        </w:rPr>
        <w:t>Therefore</w:t>
      </w:r>
      <w:r w:rsidR="004E194A" w:rsidRPr="0050354E">
        <w:rPr>
          <w:rFonts w:ascii="Palatino Linotype" w:hAnsi="Palatino Linotype" w:cs="Arial"/>
          <w:sz w:val="22"/>
          <w:szCs w:val="22"/>
        </w:rPr>
        <w:t xml:space="preserve"> </w:t>
      </w:r>
      <w:r w:rsidR="004F759D" w:rsidRPr="0050354E">
        <w:rPr>
          <w:rFonts w:ascii="Palatino Linotype" w:hAnsi="Palatino Linotype" w:cs="Arial"/>
          <w:sz w:val="22"/>
          <w:szCs w:val="22"/>
        </w:rPr>
        <w:t xml:space="preserve">the statutory conditions for a PRT are met in this case. It follows that as a matter of law the appellant has established that there was a </w:t>
      </w:r>
      <w:r w:rsidR="004B39BC" w:rsidRPr="0050354E">
        <w:rPr>
          <w:rFonts w:ascii="Palatino Linotype" w:hAnsi="Palatino Linotype" w:cs="Arial"/>
          <w:sz w:val="22"/>
          <w:szCs w:val="22"/>
        </w:rPr>
        <w:t>PRT</w:t>
      </w:r>
      <w:r w:rsidR="004F759D" w:rsidRPr="0050354E">
        <w:rPr>
          <w:rFonts w:ascii="Palatino Linotype" w:hAnsi="Palatino Linotype" w:cs="Arial"/>
          <w:sz w:val="22"/>
          <w:szCs w:val="22"/>
        </w:rPr>
        <w:t>.</w:t>
      </w:r>
      <w:r w:rsidR="00032EF9" w:rsidRPr="0050354E">
        <w:rPr>
          <w:rFonts w:ascii="Palatino Linotype" w:hAnsi="Palatino Linotype" w:cs="Arial"/>
          <w:sz w:val="22"/>
          <w:szCs w:val="22"/>
        </w:rPr>
        <w:t xml:space="preserve"> </w:t>
      </w:r>
      <w:r w:rsidR="00212D91" w:rsidRPr="0050354E">
        <w:rPr>
          <w:rFonts w:ascii="Palatino Linotype" w:hAnsi="Palatino Linotype" w:cs="Arial"/>
          <w:sz w:val="22"/>
          <w:szCs w:val="22"/>
        </w:rPr>
        <w:t xml:space="preserve">The appellant’s submissions to the Court of Session had made reference to the English House of Lords case of </w:t>
      </w:r>
      <w:r w:rsidR="00212D91" w:rsidRPr="0050354E">
        <w:rPr>
          <w:rFonts w:ascii="Palatino Linotype" w:hAnsi="Palatino Linotype" w:cs="Arial"/>
          <w:i/>
          <w:sz w:val="22"/>
          <w:szCs w:val="22"/>
        </w:rPr>
        <w:t xml:space="preserve">Uratemp Ventures </w:t>
      </w:r>
      <w:r w:rsidR="00212D91">
        <w:rPr>
          <w:rFonts w:ascii="Palatino Linotype" w:hAnsi="Palatino Linotype" w:cs="Arial"/>
          <w:i/>
          <w:sz w:val="22"/>
          <w:szCs w:val="22"/>
        </w:rPr>
        <w:t>Limited</w:t>
      </w:r>
      <w:r w:rsidR="00212D91" w:rsidRPr="0050354E">
        <w:rPr>
          <w:rFonts w:ascii="Palatino Linotype" w:hAnsi="Palatino Linotype" w:cs="Arial"/>
          <w:i/>
          <w:sz w:val="22"/>
          <w:szCs w:val="22"/>
        </w:rPr>
        <w:t xml:space="preserve"> v Collins</w:t>
      </w:r>
      <w:r w:rsidR="00212D91" w:rsidRPr="0050354E">
        <w:rPr>
          <w:rFonts w:ascii="Palatino Linotype" w:hAnsi="Palatino Linotype" w:cs="Arial"/>
          <w:sz w:val="22"/>
          <w:szCs w:val="22"/>
        </w:rPr>
        <w:t xml:space="preserve"> [2002] 1 A.C. 301 and in particular cited a passage from the speech of Lord Bingham of Cornhill at paragraph 12</w:t>
      </w:r>
      <w:r w:rsidR="00212D91">
        <w:rPr>
          <w:rFonts w:ascii="Palatino Linotype" w:hAnsi="Palatino Linotype" w:cs="Arial"/>
          <w:sz w:val="22"/>
          <w:szCs w:val="22"/>
        </w:rPr>
        <w:t xml:space="preserve"> which considered </w:t>
      </w:r>
      <w:r w:rsidR="00212D91" w:rsidRPr="0050354E">
        <w:rPr>
          <w:rFonts w:ascii="Palatino Linotype" w:hAnsi="Palatino Linotype" w:cs="Arial"/>
          <w:sz w:val="22"/>
          <w:szCs w:val="22"/>
        </w:rPr>
        <w:t xml:space="preserve">the phrase “let as a separate dwelling” in the Housing Act 1988 section 1(1). </w:t>
      </w:r>
      <w:r w:rsidR="0017349F" w:rsidRPr="0050354E">
        <w:rPr>
          <w:rFonts w:ascii="Palatino Linotype" w:hAnsi="Palatino Linotype" w:cs="Arial"/>
          <w:sz w:val="22"/>
          <w:szCs w:val="22"/>
        </w:rPr>
        <w:t xml:space="preserve">The conclusion expressed there is consistent with the conclusion expressed in this paragraph.  </w:t>
      </w:r>
    </w:p>
    <w:p w14:paraId="13A9D25F" w14:textId="22DEDAE5" w:rsidR="00930704" w:rsidRPr="0050354E" w:rsidRDefault="003D65E4" w:rsidP="008F7224">
      <w:pPr>
        <w:pStyle w:val="ListParagraph"/>
        <w:numPr>
          <w:ilvl w:val="0"/>
          <w:numId w:val="19"/>
        </w:numPr>
        <w:spacing w:line="480" w:lineRule="auto"/>
        <w:ind w:left="0" w:firstLine="0"/>
        <w:rPr>
          <w:rFonts w:ascii="Palatino Linotype" w:hAnsi="Palatino Linotype" w:cs="Arial"/>
          <w:sz w:val="22"/>
          <w:szCs w:val="22"/>
        </w:rPr>
      </w:pPr>
      <w:r>
        <w:rPr>
          <w:rFonts w:ascii="Palatino Linotype" w:hAnsi="Palatino Linotype" w:cs="Arial"/>
          <w:sz w:val="22"/>
          <w:szCs w:val="22"/>
        </w:rPr>
        <w:t>A</w:t>
      </w:r>
      <w:r w:rsidRPr="0050354E">
        <w:rPr>
          <w:rFonts w:ascii="Palatino Linotype" w:hAnsi="Palatino Linotype" w:cs="Arial"/>
          <w:sz w:val="22"/>
          <w:szCs w:val="22"/>
        </w:rPr>
        <w:t xml:space="preserve"> significant part of the reasoning of the Upper Tribunal Judge who </w:t>
      </w:r>
      <w:r>
        <w:rPr>
          <w:rFonts w:ascii="Palatino Linotype" w:hAnsi="Palatino Linotype" w:cs="Arial"/>
          <w:sz w:val="22"/>
          <w:szCs w:val="22"/>
        </w:rPr>
        <w:t xml:space="preserve">wrote the </w:t>
      </w:r>
      <w:r w:rsidRPr="0050354E">
        <w:rPr>
          <w:rFonts w:ascii="Palatino Linotype" w:hAnsi="Palatino Linotype" w:cs="Arial"/>
          <w:sz w:val="22"/>
          <w:szCs w:val="22"/>
        </w:rPr>
        <w:t>decision of 9 September 2019</w:t>
      </w:r>
      <w:r>
        <w:rPr>
          <w:rFonts w:ascii="Palatino Linotype" w:hAnsi="Palatino Linotype" w:cs="Arial"/>
          <w:sz w:val="22"/>
          <w:szCs w:val="22"/>
        </w:rPr>
        <w:t xml:space="preserve"> has been used in this section of the reasons for decision</w:t>
      </w:r>
      <w:r w:rsidRPr="0050354E">
        <w:rPr>
          <w:rFonts w:ascii="Palatino Linotype" w:hAnsi="Palatino Linotype" w:cs="Arial"/>
          <w:sz w:val="22"/>
          <w:szCs w:val="22"/>
        </w:rPr>
        <w:t xml:space="preserve">. I acknowledge </w:t>
      </w:r>
      <w:r>
        <w:rPr>
          <w:rFonts w:ascii="Palatino Linotype" w:hAnsi="Palatino Linotype" w:cs="Arial"/>
          <w:sz w:val="22"/>
          <w:szCs w:val="22"/>
        </w:rPr>
        <w:t>t</w:t>
      </w:r>
      <w:r w:rsidRPr="0050354E">
        <w:rPr>
          <w:rFonts w:ascii="Palatino Linotype" w:hAnsi="Palatino Linotype" w:cs="Arial"/>
          <w:sz w:val="22"/>
          <w:szCs w:val="22"/>
        </w:rPr>
        <w:t>his work with gratitude.</w:t>
      </w:r>
    </w:p>
    <w:p w14:paraId="709C1EAD" w14:textId="2C234D56" w:rsidR="004B39BC" w:rsidRPr="0050354E" w:rsidRDefault="008A4218"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As a result</w:t>
      </w:r>
      <w:r w:rsidR="004F759D" w:rsidRPr="0050354E">
        <w:rPr>
          <w:rFonts w:ascii="Palatino Linotype" w:hAnsi="Palatino Linotype" w:cs="Arial"/>
          <w:sz w:val="22"/>
          <w:szCs w:val="22"/>
        </w:rPr>
        <w:t xml:space="preserve"> the appeal on the issue </w:t>
      </w:r>
      <w:r w:rsidR="004B39BC" w:rsidRPr="0050354E">
        <w:rPr>
          <w:rFonts w:ascii="Palatino Linotype" w:hAnsi="Palatino Linotype" w:cs="Arial"/>
          <w:sz w:val="22"/>
          <w:szCs w:val="22"/>
        </w:rPr>
        <w:t xml:space="preserve">dealt with </w:t>
      </w:r>
      <w:r w:rsidR="004F759D" w:rsidRPr="0050354E">
        <w:rPr>
          <w:rFonts w:ascii="Palatino Linotype" w:hAnsi="Palatino Linotype" w:cs="Arial"/>
          <w:sz w:val="22"/>
          <w:szCs w:val="22"/>
        </w:rPr>
        <w:t>by the FtT succeeds.</w:t>
      </w:r>
      <w:r w:rsidR="004E578B">
        <w:rPr>
          <w:rFonts w:ascii="Palatino Linotype" w:hAnsi="Palatino Linotype" w:cs="Arial"/>
          <w:sz w:val="22"/>
          <w:szCs w:val="22"/>
        </w:rPr>
        <w:t xml:space="preserve"> This Tribunal </w:t>
      </w:r>
      <w:r w:rsidRPr="0050354E">
        <w:rPr>
          <w:rFonts w:ascii="Palatino Linotype" w:hAnsi="Palatino Linotype" w:cs="Arial"/>
          <w:sz w:val="22"/>
          <w:szCs w:val="22"/>
        </w:rPr>
        <w:t xml:space="preserve">will </w:t>
      </w:r>
      <w:r w:rsidR="00981382" w:rsidRPr="0050354E">
        <w:rPr>
          <w:rFonts w:ascii="Palatino Linotype" w:hAnsi="Palatino Linotype" w:cs="Arial"/>
          <w:sz w:val="22"/>
          <w:szCs w:val="22"/>
        </w:rPr>
        <w:t>remak</w:t>
      </w:r>
      <w:r w:rsidRPr="0050354E">
        <w:rPr>
          <w:rFonts w:ascii="Palatino Linotype" w:hAnsi="Palatino Linotype" w:cs="Arial"/>
          <w:sz w:val="22"/>
          <w:szCs w:val="22"/>
        </w:rPr>
        <w:t>e</w:t>
      </w:r>
      <w:r w:rsidR="00981382" w:rsidRPr="0050354E">
        <w:rPr>
          <w:rFonts w:ascii="Palatino Linotype" w:hAnsi="Palatino Linotype" w:cs="Arial"/>
          <w:sz w:val="22"/>
          <w:szCs w:val="22"/>
        </w:rPr>
        <w:t xml:space="preserve"> </w:t>
      </w:r>
      <w:r w:rsidR="004B39BC" w:rsidRPr="0050354E">
        <w:rPr>
          <w:rFonts w:ascii="Palatino Linotype" w:hAnsi="Palatino Linotype" w:cs="Arial"/>
          <w:sz w:val="22"/>
          <w:szCs w:val="22"/>
        </w:rPr>
        <w:t xml:space="preserve">the decision </w:t>
      </w:r>
      <w:r w:rsidR="00C83686" w:rsidRPr="0050354E">
        <w:rPr>
          <w:rFonts w:ascii="Palatino Linotype" w:hAnsi="Palatino Linotype" w:cs="Arial"/>
          <w:sz w:val="22"/>
          <w:szCs w:val="22"/>
        </w:rPr>
        <w:t xml:space="preserve">of </w:t>
      </w:r>
      <w:r w:rsidR="00981382" w:rsidRPr="0050354E">
        <w:rPr>
          <w:rFonts w:ascii="Palatino Linotype" w:hAnsi="Palatino Linotype" w:cs="Arial"/>
          <w:sz w:val="22"/>
          <w:szCs w:val="22"/>
        </w:rPr>
        <w:t xml:space="preserve">the FtT </w:t>
      </w:r>
      <w:r w:rsidR="00234DDE" w:rsidRPr="0050354E">
        <w:rPr>
          <w:rFonts w:ascii="Palatino Linotype" w:hAnsi="Palatino Linotype" w:cs="Arial"/>
          <w:sz w:val="22"/>
          <w:szCs w:val="22"/>
        </w:rPr>
        <w:t xml:space="preserve">on this issue </w:t>
      </w:r>
      <w:r w:rsidR="00C83686" w:rsidRPr="0050354E">
        <w:rPr>
          <w:rFonts w:ascii="Palatino Linotype" w:hAnsi="Palatino Linotype" w:cs="Arial"/>
          <w:sz w:val="22"/>
          <w:szCs w:val="22"/>
        </w:rPr>
        <w:t xml:space="preserve">and </w:t>
      </w:r>
      <w:r w:rsidR="00234DDE" w:rsidRPr="0050354E">
        <w:rPr>
          <w:rFonts w:ascii="Palatino Linotype" w:hAnsi="Palatino Linotype" w:cs="Arial"/>
          <w:sz w:val="22"/>
          <w:szCs w:val="22"/>
        </w:rPr>
        <w:t>make the finding</w:t>
      </w:r>
      <w:r w:rsidR="00A12D35" w:rsidRPr="0050354E">
        <w:rPr>
          <w:rFonts w:ascii="Palatino Linotype" w:hAnsi="Palatino Linotype" w:cs="Arial"/>
          <w:sz w:val="22"/>
          <w:szCs w:val="22"/>
        </w:rPr>
        <w:t>s</w:t>
      </w:r>
      <w:r w:rsidR="00234DDE" w:rsidRPr="0050354E">
        <w:rPr>
          <w:rFonts w:ascii="Palatino Linotype" w:hAnsi="Palatino Linotype" w:cs="Arial"/>
          <w:sz w:val="22"/>
          <w:szCs w:val="22"/>
        </w:rPr>
        <w:t xml:space="preserve"> required for the conclusion in law that </w:t>
      </w:r>
      <w:r w:rsidR="00731C7A" w:rsidRPr="0050354E">
        <w:rPr>
          <w:rFonts w:ascii="Palatino Linotype" w:hAnsi="Palatino Linotype" w:cs="Arial"/>
          <w:sz w:val="22"/>
          <w:szCs w:val="22"/>
        </w:rPr>
        <w:t>there was a PRT.</w:t>
      </w:r>
      <w:r w:rsidR="00C83686" w:rsidRPr="0050354E">
        <w:rPr>
          <w:rFonts w:ascii="Palatino Linotype" w:hAnsi="Palatino Linotype" w:cs="Arial"/>
          <w:sz w:val="22"/>
          <w:szCs w:val="22"/>
        </w:rPr>
        <w:t xml:space="preserve"> </w:t>
      </w:r>
      <w:r w:rsidR="004E578B" w:rsidRPr="0050354E">
        <w:rPr>
          <w:rFonts w:ascii="Palatino Linotype" w:hAnsi="Palatino Linotype" w:cs="Arial"/>
          <w:sz w:val="22"/>
          <w:szCs w:val="22"/>
        </w:rPr>
        <w:t xml:space="preserve">In remaking the decision necessary findings in fact have been made in respect of the parties, the subjects of the lease and the agreed rent. </w:t>
      </w:r>
      <w:r w:rsidR="00E151BA">
        <w:rPr>
          <w:rFonts w:ascii="Palatino Linotype" w:hAnsi="Palatino Linotype" w:cs="Arial"/>
          <w:sz w:val="22"/>
          <w:szCs w:val="22"/>
        </w:rPr>
        <w:t xml:space="preserve">It is necessary to </w:t>
      </w:r>
      <w:r w:rsidR="00731C7A" w:rsidRPr="0050354E">
        <w:rPr>
          <w:rFonts w:ascii="Palatino Linotype" w:hAnsi="Palatino Linotype" w:cs="Arial"/>
          <w:sz w:val="22"/>
          <w:szCs w:val="22"/>
        </w:rPr>
        <w:t xml:space="preserve">consider the </w:t>
      </w:r>
      <w:r w:rsidR="00E151BA">
        <w:rPr>
          <w:rFonts w:ascii="Palatino Linotype" w:hAnsi="Palatino Linotype" w:cs="Arial"/>
          <w:sz w:val="22"/>
          <w:szCs w:val="22"/>
        </w:rPr>
        <w:t>consequences t</w:t>
      </w:r>
      <w:r w:rsidR="006C5820">
        <w:rPr>
          <w:rFonts w:ascii="Palatino Linotype" w:hAnsi="Palatino Linotype" w:cs="Arial"/>
          <w:sz w:val="22"/>
          <w:szCs w:val="22"/>
        </w:rPr>
        <w:t>hat flow for this appeal f</w:t>
      </w:r>
      <w:r w:rsidR="00E151BA">
        <w:rPr>
          <w:rFonts w:ascii="Palatino Linotype" w:hAnsi="Palatino Linotype" w:cs="Arial"/>
          <w:sz w:val="22"/>
          <w:szCs w:val="22"/>
        </w:rPr>
        <w:t>r</w:t>
      </w:r>
      <w:r w:rsidR="006C5820">
        <w:rPr>
          <w:rFonts w:ascii="Palatino Linotype" w:hAnsi="Palatino Linotype" w:cs="Arial"/>
          <w:sz w:val="22"/>
          <w:szCs w:val="22"/>
        </w:rPr>
        <w:t>o</w:t>
      </w:r>
      <w:r w:rsidR="00E151BA">
        <w:rPr>
          <w:rFonts w:ascii="Palatino Linotype" w:hAnsi="Palatino Linotype" w:cs="Arial"/>
          <w:sz w:val="22"/>
          <w:szCs w:val="22"/>
        </w:rPr>
        <w:t>m the conclusion that there was a PRT.</w:t>
      </w:r>
      <w:r w:rsidR="006C5820">
        <w:rPr>
          <w:rFonts w:ascii="Palatino Linotype" w:hAnsi="Palatino Linotype" w:cs="Arial"/>
          <w:sz w:val="22"/>
          <w:szCs w:val="22"/>
        </w:rPr>
        <w:t xml:space="preserve"> </w:t>
      </w:r>
      <w:r w:rsidR="009E4417">
        <w:rPr>
          <w:rFonts w:ascii="Palatino Linotype" w:hAnsi="Palatino Linotype" w:cs="Arial"/>
          <w:sz w:val="22"/>
          <w:szCs w:val="22"/>
        </w:rPr>
        <w:t>Having made these findi</w:t>
      </w:r>
      <w:r w:rsidR="004E578B">
        <w:rPr>
          <w:rFonts w:ascii="Palatino Linotype" w:hAnsi="Palatino Linotype" w:cs="Arial"/>
          <w:sz w:val="22"/>
          <w:szCs w:val="22"/>
        </w:rPr>
        <w:t>n</w:t>
      </w:r>
      <w:r w:rsidR="009E4417">
        <w:rPr>
          <w:rFonts w:ascii="Palatino Linotype" w:hAnsi="Palatino Linotype" w:cs="Arial"/>
          <w:sz w:val="22"/>
          <w:szCs w:val="22"/>
        </w:rPr>
        <w:t>g</w:t>
      </w:r>
      <w:r w:rsidR="004E578B">
        <w:rPr>
          <w:rFonts w:ascii="Palatino Linotype" w:hAnsi="Palatino Linotype" w:cs="Arial"/>
          <w:sz w:val="22"/>
          <w:szCs w:val="22"/>
        </w:rPr>
        <w:t xml:space="preserve">s, consideration has been given to </w:t>
      </w:r>
      <w:r w:rsidR="006C5820">
        <w:rPr>
          <w:rFonts w:ascii="Palatino Linotype" w:hAnsi="Palatino Linotype" w:cs="Arial"/>
          <w:sz w:val="22"/>
          <w:szCs w:val="22"/>
        </w:rPr>
        <w:t xml:space="preserve">the question of the </w:t>
      </w:r>
      <w:r w:rsidR="00731C7A" w:rsidRPr="0050354E">
        <w:rPr>
          <w:rFonts w:ascii="Palatino Linotype" w:hAnsi="Palatino Linotype" w:cs="Arial"/>
          <w:sz w:val="22"/>
          <w:szCs w:val="22"/>
        </w:rPr>
        <w:t xml:space="preserve">extent to which </w:t>
      </w:r>
      <w:r w:rsidR="004E194A" w:rsidRPr="0050354E">
        <w:rPr>
          <w:rFonts w:ascii="Palatino Linotype" w:hAnsi="Palatino Linotype" w:cs="Arial"/>
          <w:sz w:val="22"/>
          <w:szCs w:val="22"/>
        </w:rPr>
        <w:t>this Tribunal c</w:t>
      </w:r>
      <w:r w:rsidR="009E4417">
        <w:rPr>
          <w:rFonts w:ascii="Palatino Linotype" w:hAnsi="Palatino Linotype" w:cs="Arial"/>
          <w:sz w:val="22"/>
          <w:szCs w:val="22"/>
        </w:rPr>
        <w:t xml:space="preserve">ould and should </w:t>
      </w:r>
      <w:r w:rsidR="00731C7A" w:rsidRPr="0050354E">
        <w:rPr>
          <w:rFonts w:ascii="Palatino Linotype" w:hAnsi="Palatino Linotype" w:cs="Arial"/>
          <w:sz w:val="22"/>
          <w:szCs w:val="22"/>
        </w:rPr>
        <w:t xml:space="preserve">go further and determine the </w:t>
      </w:r>
      <w:r w:rsidR="00854779">
        <w:rPr>
          <w:rFonts w:ascii="Palatino Linotype" w:hAnsi="Palatino Linotype" w:cs="Arial"/>
          <w:sz w:val="22"/>
          <w:szCs w:val="22"/>
        </w:rPr>
        <w:t xml:space="preserve">remainder of the </w:t>
      </w:r>
      <w:r w:rsidR="00731C7A" w:rsidRPr="0050354E">
        <w:rPr>
          <w:rFonts w:ascii="Palatino Linotype" w:hAnsi="Palatino Linotype" w:cs="Arial"/>
          <w:sz w:val="22"/>
          <w:szCs w:val="22"/>
        </w:rPr>
        <w:t xml:space="preserve">application made </w:t>
      </w:r>
      <w:r w:rsidR="006C5820">
        <w:rPr>
          <w:rFonts w:ascii="Palatino Linotype" w:hAnsi="Palatino Linotype" w:cs="Arial"/>
          <w:sz w:val="22"/>
          <w:szCs w:val="22"/>
        </w:rPr>
        <w:t xml:space="preserve">to the FtT by the appellant </w:t>
      </w:r>
      <w:r w:rsidR="00731C7A" w:rsidRPr="0050354E">
        <w:rPr>
          <w:rFonts w:ascii="Palatino Linotype" w:hAnsi="Palatino Linotype" w:cs="Arial"/>
          <w:sz w:val="22"/>
          <w:szCs w:val="22"/>
        </w:rPr>
        <w:t>under Rule 107 of the FtT Rules of Procedure.</w:t>
      </w:r>
      <w:r w:rsidR="009E4417">
        <w:rPr>
          <w:rFonts w:ascii="Palatino Linotype" w:hAnsi="Palatino Linotype" w:cs="Arial"/>
          <w:sz w:val="22"/>
          <w:szCs w:val="22"/>
        </w:rPr>
        <w:t xml:space="preserve"> The response to that question requires consideration of the relevant parts of the 2016 Act </w:t>
      </w:r>
    </w:p>
    <w:p w14:paraId="6F0F15B5" w14:textId="092B18CD" w:rsidR="000B7258" w:rsidRDefault="000B7258" w:rsidP="008F7224">
      <w:pPr>
        <w:pStyle w:val="ListParagraph"/>
        <w:numPr>
          <w:ilvl w:val="0"/>
          <w:numId w:val="19"/>
        </w:numPr>
        <w:spacing w:line="480" w:lineRule="auto"/>
        <w:ind w:left="0" w:firstLine="0"/>
        <w:rPr>
          <w:rFonts w:ascii="Palatino Linotype" w:hAnsi="Palatino Linotype" w:cs="Arial"/>
          <w:sz w:val="22"/>
          <w:szCs w:val="22"/>
        </w:rPr>
      </w:pPr>
      <w:r>
        <w:rPr>
          <w:rFonts w:ascii="Palatino Linotype" w:hAnsi="Palatino Linotype" w:cs="Arial"/>
          <w:sz w:val="22"/>
          <w:szCs w:val="22"/>
        </w:rPr>
        <w:t>So far as material</w:t>
      </w:r>
      <w:r w:rsidR="006C5820">
        <w:rPr>
          <w:rFonts w:ascii="Palatino Linotype" w:hAnsi="Palatino Linotype" w:cs="Arial"/>
          <w:sz w:val="22"/>
          <w:szCs w:val="22"/>
        </w:rPr>
        <w:t>,</w:t>
      </w:r>
      <w:r>
        <w:rPr>
          <w:rFonts w:ascii="Palatino Linotype" w:hAnsi="Palatino Linotype" w:cs="Arial"/>
          <w:sz w:val="22"/>
          <w:szCs w:val="22"/>
        </w:rPr>
        <w:t xml:space="preserve"> the </w:t>
      </w:r>
      <w:r w:rsidR="006C5820">
        <w:rPr>
          <w:rFonts w:ascii="Palatino Linotype" w:hAnsi="Palatino Linotype" w:cs="Arial"/>
          <w:sz w:val="22"/>
          <w:szCs w:val="22"/>
        </w:rPr>
        <w:t>relevant statutory provisions of the 2016 Act are</w:t>
      </w:r>
      <w:r>
        <w:rPr>
          <w:rFonts w:ascii="Palatino Linotype" w:hAnsi="Palatino Linotype" w:cs="Arial"/>
          <w:sz w:val="22"/>
          <w:szCs w:val="22"/>
        </w:rPr>
        <w:t xml:space="preserve"> set out in this par</w:t>
      </w:r>
      <w:r w:rsidR="00E151BA">
        <w:rPr>
          <w:rFonts w:ascii="Palatino Linotype" w:hAnsi="Palatino Linotype" w:cs="Arial"/>
          <w:sz w:val="22"/>
          <w:szCs w:val="22"/>
        </w:rPr>
        <w:t>a</w:t>
      </w:r>
      <w:r>
        <w:rPr>
          <w:rFonts w:ascii="Palatino Linotype" w:hAnsi="Palatino Linotype" w:cs="Arial"/>
          <w:sz w:val="22"/>
          <w:szCs w:val="22"/>
        </w:rPr>
        <w:t xml:space="preserve">graph. </w:t>
      </w:r>
      <w:r w:rsidR="006C5820">
        <w:rPr>
          <w:rFonts w:ascii="Palatino Linotype" w:hAnsi="Palatino Linotype" w:cs="Arial"/>
          <w:sz w:val="22"/>
          <w:szCs w:val="22"/>
        </w:rPr>
        <w:t xml:space="preserve">Section 10 </w:t>
      </w:r>
      <w:r>
        <w:rPr>
          <w:rFonts w:ascii="Palatino Linotype" w:hAnsi="Palatino Linotype" w:cs="Arial"/>
          <w:sz w:val="22"/>
          <w:szCs w:val="22"/>
        </w:rPr>
        <w:t xml:space="preserve">provides as follows. </w:t>
      </w:r>
    </w:p>
    <w:p w14:paraId="6E42F8FC" w14:textId="23020691" w:rsidR="000B7258" w:rsidRPr="009725EB" w:rsidRDefault="000B7258" w:rsidP="008C5713">
      <w:pPr>
        <w:shd w:val="clear" w:color="auto" w:fill="FFFFFF"/>
        <w:ind w:left="720"/>
        <w:textAlignment w:val="baseline"/>
        <w:rPr>
          <w:rFonts w:ascii="Palatino Linotype" w:hAnsi="Palatino Linotype" w:cs="Arial"/>
          <w:color w:val="000000"/>
          <w:sz w:val="22"/>
          <w:szCs w:val="22"/>
          <w:lang w:eastAsia="en-GB"/>
        </w:rPr>
      </w:pPr>
      <w:r>
        <w:rPr>
          <w:rFonts w:ascii="Palatino Linotype" w:hAnsi="Palatino Linotype" w:cs="Arial"/>
          <w:color w:val="000000"/>
          <w:lang w:eastAsia="en-GB"/>
        </w:rPr>
        <w:t>“</w:t>
      </w:r>
      <w:r w:rsidR="008C5713">
        <w:rPr>
          <w:rFonts w:ascii="Palatino Linotype" w:hAnsi="Palatino Linotype" w:cs="Arial"/>
          <w:color w:val="000000"/>
          <w:sz w:val="22"/>
          <w:szCs w:val="22"/>
          <w:lang w:eastAsia="en-GB"/>
        </w:rPr>
        <w:t>(1)</w:t>
      </w:r>
      <w:r w:rsidR="008C5713">
        <w:rPr>
          <w:rFonts w:ascii="Palatino Linotype" w:hAnsi="Palatino Linotype" w:cs="Arial"/>
          <w:color w:val="000000"/>
          <w:sz w:val="22"/>
          <w:szCs w:val="22"/>
          <w:lang w:eastAsia="en-GB"/>
        </w:rPr>
        <w:tab/>
      </w:r>
      <w:r w:rsidRPr="009725EB">
        <w:rPr>
          <w:rFonts w:ascii="Palatino Linotype" w:hAnsi="Palatino Linotype" w:cs="Arial"/>
          <w:color w:val="000000"/>
          <w:sz w:val="22"/>
          <w:szCs w:val="22"/>
          <w:lang w:eastAsia="en-GB"/>
        </w:rPr>
        <w:t xml:space="preserve">Where the terms of a </w:t>
      </w:r>
      <w:r w:rsidR="009E4417">
        <w:rPr>
          <w:rFonts w:ascii="Palatino Linotype" w:hAnsi="Palatino Linotype" w:cs="Arial"/>
          <w:color w:val="000000"/>
          <w:sz w:val="22"/>
          <w:szCs w:val="22"/>
          <w:lang w:eastAsia="en-GB"/>
        </w:rPr>
        <w:t xml:space="preserve">[PRT] </w:t>
      </w:r>
      <w:r w:rsidRPr="009725EB">
        <w:rPr>
          <w:rFonts w:ascii="Palatino Linotype" w:hAnsi="Palatino Linotype" w:cs="Arial"/>
          <w:color w:val="000000"/>
          <w:sz w:val="22"/>
          <w:szCs w:val="22"/>
          <w:lang w:eastAsia="en-GB"/>
        </w:rPr>
        <w:t>are not set out in writing between the parties, the landlord must, before the end of the day specified in subsection (2) or (as the case may be) (3), provide the tenant with a document which sets out all of the terms of the tenancy.</w:t>
      </w:r>
    </w:p>
    <w:p w14:paraId="1A56CAE5" w14:textId="4206363F" w:rsidR="000B7258" w:rsidRPr="009725EB" w:rsidRDefault="008C5713" w:rsidP="008C5713">
      <w:pPr>
        <w:shd w:val="clear" w:color="auto" w:fill="FFFFFF"/>
        <w:ind w:left="720"/>
        <w:textAlignment w:val="baseline"/>
        <w:rPr>
          <w:rFonts w:ascii="Palatino Linotype" w:hAnsi="Palatino Linotype" w:cs="Arial"/>
          <w:color w:val="000000"/>
          <w:sz w:val="22"/>
          <w:szCs w:val="22"/>
          <w:lang w:eastAsia="en-GB"/>
        </w:rPr>
      </w:pPr>
      <w:r>
        <w:rPr>
          <w:rFonts w:ascii="Palatino Linotype" w:hAnsi="Palatino Linotype" w:cs="Arial"/>
          <w:color w:val="000000"/>
          <w:sz w:val="22"/>
          <w:szCs w:val="22"/>
          <w:lang w:eastAsia="en-GB"/>
        </w:rPr>
        <w:t>(2)</w:t>
      </w:r>
      <w:r>
        <w:rPr>
          <w:rFonts w:ascii="Palatino Linotype" w:hAnsi="Palatino Linotype" w:cs="Arial"/>
          <w:color w:val="000000"/>
          <w:sz w:val="22"/>
          <w:szCs w:val="22"/>
          <w:lang w:eastAsia="en-GB"/>
        </w:rPr>
        <w:tab/>
      </w:r>
      <w:r w:rsidR="000B7258" w:rsidRPr="009725EB">
        <w:rPr>
          <w:rFonts w:ascii="Palatino Linotype" w:hAnsi="Palatino Linotype" w:cs="Arial"/>
          <w:color w:val="000000"/>
          <w:sz w:val="22"/>
          <w:szCs w:val="22"/>
          <w:lang w:eastAsia="en-GB"/>
        </w:rPr>
        <w:t>The day referred to in subsection (1) is—</w:t>
      </w:r>
    </w:p>
    <w:p w14:paraId="55B4D37B" w14:textId="242F5F26" w:rsidR="000B7258" w:rsidRDefault="008C5713" w:rsidP="008C5713">
      <w:pPr>
        <w:pStyle w:val="ListParagraph"/>
        <w:rPr>
          <w:rFonts w:ascii="Palatino Linotype" w:hAnsi="Palatino Linotype" w:cs="Arial"/>
          <w:color w:val="000000"/>
          <w:lang w:eastAsia="en-GB"/>
        </w:rPr>
      </w:pPr>
      <w:r>
        <w:rPr>
          <w:rFonts w:ascii="Palatino Linotype" w:hAnsi="Palatino Linotype" w:cs="Arial"/>
          <w:color w:val="000000"/>
          <w:sz w:val="22"/>
          <w:szCs w:val="22"/>
          <w:lang w:eastAsia="en-GB"/>
        </w:rPr>
        <w:t>(a)</w:t>
      </w:r>
      <w:r>
        <w:rPr>
          <w:rFonts w:ascii="Palatino Linotype" w:hAnsi="Palatino Linotype" w:cs="Arial"/>
          <w:color w:val="000000"/>
          <w:sz w:val="22"/>
          <w:szCs w:val="22"/>
          <w:lang w:eastAsia="en-GB"/>
        </w:rPr>
        <w:tab/>
      </w:r>
      <w:r w:rsidR="000B7258" w:rsidRPr="009725EB">
        <w:rPr>
          <w:rFonts w:ascii="Palatino Linotype" w:hAnsi="Palatino Linotype" w:cs="Arial"/>
          <w:color w:val="000000"/>
          <w:sz w:val="22"/>
          <w:szCs w:val="22"/>
          <w:lang w:eastAsia="en-GB"/>
        </w:rPr>
        <w:t>the day on which the tenancy commences, if the tenancy is a</w:t>
      </w:r>
      <w:r w:rsidR="000B7258">
        <w:rPr>
          <w:rFonts w:ascii="Palatino Linotype" w:hAnsi="Palatino Linotype" w:cs="Arial"/>
          <w:color w:val="000000"/>
          <w:sz w:val="22"/>
          <w:szCs w:val="22"/>
          <w:lang w:eastAsia="en-GB"/>
        </w:rPr>
        <w:t xml:space="preserve"> private residential tenancy on </w:t>
      </w:r>
      <w:r w:rsidR="000B7258" w:rsidRPr="009725EB">
        <w:rPr>
          <w:rFonts w:ascii="Palatino Linotype" w:hAnsi="Palatino Linotype" w:cs="Arial"/>
          <w:color w:val="000000"/>
          <w:sz w:val="22"/>
          <w:szCs w:val="22"/>
          <w:lang w:eastAsia="en-GB"/>
        </w:rPr>
        <w:t>that day,…</w:t>
      </w:r>
      <w:r w:rsidR="000B7258">
        <w:rPr>
          <w:rFonts w:ascii="Palatino Linotype" w:hAnsi="Palatino Linotype" w:cs="Arial"/>
          <w:color w:val="000000"/>
          <w:lang w:eastAsia="en-GB"/>
        </w:rPr>
        <w:t>”</w:t>
      </w:r>
    </w:p>
    <w:p w14:paraId="110A266B" w14:textId="77777777" w:rsidR="000B7258" w:rsidRDefault="000B7258" w:rsidP="008C5713">
      <w:pPr>
        <w:pStyle w:val="ListParagraph"/>
        <w:rPr>
          <w:rFonts w:ascii="Palatino Linotype" w:hAnsi="Palatino Linotype" w:cs="Arial"/>
          <w:color w:val="000000"/>
          <w:lang w:eastAsia="en-GB"/>
        </w:rPr>
      </w:pPr>
    </w:p>
    <w:p w14:paraId="4D708AF2" w14:textId="7A03E6CA" w:rsidR="000B7258" w:rsidRDefault="000B7258" w:rsidP="008F7224">
      <w:pPr>
        <w:pStyle w:val="ListParagraph"/>
        <w:spacing w:line="480" w:lineRule="auto"/>
        <w:ind w:left="0"/>
        <w:rPr>
          <w:rFonts w:ascii="Palatino Linotype" w:hAnsi="Palatino Linotype" w:cs="Arial"/>
          <w:sz w:val="22"/>
          <w:szCs w:val="22"/>
        </w:rPr>
      </w:pPr>
      <w:r>
        <w:rPr>
          <w:rFonts w:ascii="Palatino Linotype" w:hAnsi="Palatino Linotype" w:cs="Arial"/>
          <w:sz w:val="22"/>
          <w:szCs w:val="22"/>
        </w:rPr>
        <w:t>Section 11</w:t>
      </w:r>
      <w:r w:rsidR="006C5820">
        <w:rPr>
          <w:rFonts w:ascii="Palatino Linotype" w:hAnsi="Palatino Linotype" w:cs="Arial"/>
          <w:sz w:val="22"/>
          <w:szCs w:val="22"/>
        </w:rPr>
        <w:t xml:space="preserve"> </w:t>
      </w:r>
      <w:r>
        <w:rPr>
          <w:rFonts w:ascii="Palatino Linotype" w:hAnsi="Palatino Linotype" w:cs="Arial"/>
          <w:sz w:val="22"/>
          <w:szCs w:val="22"/>
        </w:rPr>
        <w:t>provides as follows.</w:t>
      </w:r>
    </w:p>
    <w:p w14:paraId="73A9D4C6" w14:textId="2DDE0E40" w:rsidR="000B7258" w:rsidRPr="009725EB" w:rsidRDefault="000B7258" w:rsidP="008C5713">
      <w:pPr>
        <w:ind w:left="720"/>
        <w:rPr>
          <w:rFonts w:ascii="Palatino Linotype" w:hAnsi="Palatino Linotype"/>
          <w:sz w:val="22"/>
          <w:szCs w:val="22"/>
          <w:lang w:eastAsia="en-GB"/>
        </w:rPr>
      </w:pPr>
      <w:r>
        <w:rPr>
          <w:rFonts w:ascii="Palatino Linotype" w:hAnsi="Palatino Linotype" w:cs="Arial"/>
          <w:color w:val="000000"/>
          <w:shd w:val="clear" w:color="auto" w:fill="FFFFFF"/>
          <w:lang w:eastAsia="en-GB"/>
        </w:rPr>
        <w:t>“</w:t>
      </w:r>
      <w:r w:rsidR="008C5713">
        <w:rPr>
          <w:rFonts w:ascii="Palatino Linotype" w:hAnsi="Palatino Linotype" w:cs="Arial"/>
          <w:color w:val="000000"/>
          <w:sz w:val="22"/>
          <w:szCs w:val="22"/>
          <w:shd w:val="clear" w:color="auto" w:fill="FFFFFF"/>
          <w:lang w:eastAsia="en-GB"/>
        </w:rPr>
        <w:t>(1)</w:t>
      </w:r>
      <w:r w:rsidR="008C5713">
        <w:rPr>
          <w:rFonts w:ascii="Palatino Linotype" w:hAnsi="Palatino Linotype" w:cs="Arial"/>
          <w:color w:val="000000"/>
          <w:sz w:val="22"/>
          <w:szCs w:val="22"/>
          <w:shd w:val="clear" w:color="auto" w:fill="FFFFFF"/>
          <w:lang w:eastAsia="en-GB"/>
        </w:rPr>
        <w:tab/>
      </w:r>
      <w:r w:rsidRPr="009725EB">
        <w:rPr>
          <w:rFonts w:ascii="Palatino Linotype" w:hAnsi="Palatino Linotype" w:cs="Arial"/>
          <w:color w:val="000000"/>
          <w:sz w:val="22"/>
          <w:szCs w:val="22"/>
          <w:shd w:val="clear" w:color="auto" w:fill="FFFFFF"/>
          <w:lang w:eastAsia="en-GB"/>
        </w:rPr>
        <w:t xml:space="preserve">The Scottish Ministers may by regulations impose a duty on any person who is, or is to be, the landlord under a </w:t>
      </w:r>
      <w:r w:rsidR="009E4417">
        <w:rPr>
          <w:rFonts w:ascii="Palatino Linotype" w:hAnsi="Palatino Linotype" w:cs="Arial"/>
          <w:color w:val="000000"/>
          <w:sz w:val="22"/>
          <w:szCs w:val="22"/>
          <w:shd w:val="clear" w:color="auto" w:fill="FFFFFF"/>
          <w:lang w:eastAsia="en-GB"/>
        </w:rPr>
        <w:t>[PRT]</w:t>
      </w:r>
      <w:r w:rsidRPr="009725EB">
        <w:rPr>
          <w:rFonts w:ascii="Palatino Linotype" w:hAnsi="Palatino Linotype" w:cs="Arial"/>
          <w:color w:val="000000"/>
          <w:sz w:val="22"/>
          <w:szCs w:val="22"/>
          <w:shd w:val="clear" w:color="auto" w:fill="FFFFFF"/>
          <w:lang w:eastAsia="en-GB"/>
        </w:rPr>
        <w:t xml:space="preserve"> to provide the person who is, or is to be, the tenant—</w:t>
      </w:r>
    </w:p>
    <w:p w14:paraId="298964A1" w14:textId="72F441BB" w:rsidR="000B7258" w:rsidRDefault="008C5713" w:rsidP="008C5713">
      <w:pPr>
        <w:pStyle w:val="ListParagraph"/>
        <w:rPr>
          <w:rFonts w:ascii="Palatino Linotype" w:hAnsi="Palatino Linotype" w:cs="Arial"/>
          <w:sz w:val="22"/>
          <w:szCs w:val="22"/>
        </w:rPr>
      </w:pPr>
      <w:r>
        <w:rPr>
          <w:rFonts w:ascii="Palatino Linotype" w:hAnsi="Palatino Linotype" w:cs="Arial"/>
          <w:color w:val="000000"/>
          <w:sz w:val="22"/>
          <w:szCs w:val="22"/>
          <w:lang w:eastAsia="en-GB"/>
        </w:rPr>
        <w:t>(a)</w:t>
      </w:r>
      <w:r>
        <w:rPr>
          <w:rFonts w:ascii="Palatino Linotype" w:hAnsi="Palatino Linotype" w:cs="Arial"/>
          <w:color w:val="000000"/>
          <w:sz w:val="22"/>
          <w:szCs w:val="22"/>
          <w:lang w:eastAsia="en-GB"/>
        </w:rPr>
        <w:tab/>
      </w:r>
      <w:r w:rsidR="000B7258" w:rsidRPr="009725EB">
        <w:rPr>
          <w:rFonts w:ascii="Palatino Linotype" w:hAnsi="Palatino Linotype" w:cs="Arial"/>
          <w:color w:val="000000"/>
          <w:sz w:val="22"/>
          <w:szCs w:val="22"/>
          <w:lang w:eastAsia="en-GB"/>
        </w:rPr>
        <w:t>with information specified in the regulations</w:t>
      </w:r>
      <w:r w:rsidR="000B7258">
        <w:rPr>
          <w:rFonts w:ascii="Palatino Linotype" w:hAnsi="Palatino Linotype" w:cs="Arial"/>
          <w:color w:val="000000"/>
          <w:lang w:eastAsia="en-GB"/>
        </w:rPr>
        <w:t>….”</w:t>
      </w:r>
    </w:p>
    <w:p w14:paraId="30C0C0F5" w14:textId="77777777" w:rsidR="000B7258" w:rsidRPr="000B7258" w:rsidRDefault="000B7258" w:rsidP="008C5713">
      <w:pPr>
        <w:pStyle w:val="ListParagraph"/>
        <w:rPr>
          <w:rFonts w:ascii="Palatino Linotype" w:hAnsi="Palatino Linotype" w:cs="Arial"/>
          <w:sz w:val="22"/>
          <w:szCs w:val="22"/>
        </w:rPr>
      </w:pPr>
    </w:p>
    <w:p w14:paraId="4C5FBF63" w14:textId="2A23198C" w:rsidR="00C6525F" w:rsidRPr="0050354E" w:rsidRDefault="00AF36BA" w:rsidP="008F7224">
      <w:pPr>
        <w:pStyle w:val="ListParagraph"/>
        <w:spacing w:line="480" w:lineRule="auto"/>
        <w:ind w:left="0"/>
        <w:rPr>
          <w:rFonts w:ascii="Palatino Linotype" w:hAnsi="Palatino Linotype" w:cs="Arial"/>
          <w:sz w:val="22"/>
          <w:szCs w:val="22"/>
        </w:rPr>
      </w:pPr>
      <w:r>
        <w:rPr>
          <w:rFonts w:ascii="Palatino Linotype" w:hAnsi="Palatino Linotype"/>
          <w:sz w:val="22"/>
          <w:szCs w:val="22"/>
        </w:rPr>
        <w:t xml:space="preserve">A tenant may </w:t>
      </w:r>
      <w:r w:rsidR="009E4417">
        <w:rPr>
          <w:rFonts w:ascii="Palatino Linotype" w:hAnsi="Palatino Linotype"/>
          <w:sz w:val="22"/>
          <w:szCs w:val="22"/>
        </w:rPr>
        <w:t xml:space="preserve">apply to the FtT to </w:t>
      </w:r>
      <w:r>
        <w:rPr>
          <w:rFonts w:ascii="Palatino Linotype" w:hAnsi="Palatino Linotype"/>
          <w:sz w:val="22"/>
          <w:szCs w:val="22"/>
        </w:rPr>
        <w:t xml:space="preserve">seek </w:t>
      </w:r>
      <w:r w:rsidR="009E4417">
        <w:rPr>
          <w:rFonts w:ascii="Palatino Linotype" w:hAnsi="Palatino Linotype"/>
          <w:sz w:val="22"/>
          <w:szCs w:val="22"/>
        </w:rPr>
        <w:t xml:space="preserve">certain orders </w:t>
      </w:r>
      <w:r>
        <w:rPr>
          <w:rFonts w:ascii="Palatino Linotype" w:hAnsi="Palatino Linotype"/>
          <w:sz w:val="22"/>
          <w:szCs w:val="22"/>
        </w:rPr>
        <w:t>against a landlord who fails to comply with one or more of the obligation</w:t>
      </w:r>
      <w:r w:rsidR="009E4417">
        <w:rPr>
          <w:rFonts w:ascii="Palatino Linotype" w:hAnsi="Palatino Linotype"/>
          <w:sz w:val="22"/>
          <w:szCs w:val="22"/>
        </w:rPr>
        <w:t>s</w:t>
      </w:r>
      <w:r>
        <w:rPr>
          <w:rFonts w:ascii="Palatino Linotype" w:hAnsi="Palatino Linotype"/>
          <w:sz w:val="22"/>
          <w:szCs w:val="22"/>
        </w:rPr>
        <w:t xml:space="preserve"> which arise by virtue of sections 10 and 11</w:t>
      </w:r>
      <w:r w:rsidR="009E4417">
        <w:rPr>
          <w:rFonts w:ascii="Palatino Linotype" w:hAnsi="Palatino Linotype"/>
          <w:sz w:val="22"/>
          <w:szCs w:val="22"/>
        </w:rPr>
        <w:t>. S</w:t>
      </w:r>
      <w:r w:rsidR="00C6525F" w:rsidRPr="0050354E">
        <w:rPr>
          <w:rFonts w:ascii="Palatino Linotype" w:hAnsi="Palatino Linotype" w:cs="Arial"/>
          <w:sz w:val="22"/>
          <w:szCs w:val="22"/>
        </w:rPr>
        <w:t>ection 16</w:t>
      </w:r>
      <w:r>
        <w:rPr>
          <w:rFonts w:ascii="Palatino Linotype" w:hAnsi="Palatino Linotype" w:cs="Arial"/>
          <w:sz w:val="22"/>
          <w:szCs w:val="22"/>
        </w:rPr>
        <w:t xml:space="preserve"> </w:t>
      </w:r>
      <w:r w:rsidR="000B7258">
        <w:rPr>
          <w:rFonts w:ascii="Palatino Linotype" w:hAnsi="Palatino Linotype" w:cs="Arial"/>
          <w:sz w:val="22"/>
          <w:szCs w:val="22"/>
        </w:rPr>
        <w:t>provides as follows.</w:t>
      </w:r>
    </w:p>
    <w:p w14:paraId="36BDAD85" w14:textId="1F353FF1"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“(1)</w:t>
      </w:r>
      <w:r>
        <w:rPr>
          <w:rFonts w:ascii="Palatino Linotype" w:hAnsi="Palatino Linotype"/>
          <w:sz w:val="22"/>
          <w:szCs w:val="22"/>
        </w:rPr>
        <w:tab/>
      </w:r>
      <w:r w:rsidR="00C6525F" w:rsidRPr="0050354E">
        <w:rPr>
          <w:rFonts w:ascii="Palatino Linotype" w:hAnsi="Palatino Linotype"/>
          <w:sz w:val="22"/>
          <w:szCs w:val="22"/>
        </w:rPr>
        <w:t xml:space="preserve">On an application by the tenant under a </w:t>
      </w:r>
      <w:r w:rsidR="009E4417">
        <w:rPr>
          <w:rFonts w:ascii="Palatino Linotype" w:hAnsi="Palatino Linotype"/>
          <w:sz w:val="22"/>
          <w:szCs w:val="22"/>
        </w:rPr>
        <w:t>[PRT]</w:t>
      </w:r>
      <w:r w:rsidR="00C6525F" w:rsidRPr="0050354E">
        <w:rPr>
          <w:rFonts w:ascii="Palatino Linotype" w:hAnsi="Palatino Linotype"/>
          <w:sz w:val="22"/>
          <w:szCs w:val="22"/>
        </w:rPr>
        <w:t xml:space="preserve">, the </w:t>
      </w:r>
      <w:r w:rsidR="00CB03E8">
        <w:rPr>
          <w:rFonts w:ascii="Palatino Linotype" w:hAnsi="Palatino Linotype"/>
          <w:sz w:val="22"/>
          <w:szCs w:val="22"/>
        </w:rPr>
        <w:t>[</w:t>
      </w:r>
      <w:r w:rsidR="00C6525F" w:rsidRPr="0050354E">
        <w:rPr>
          <w:rFonts w:ascii="Palatino Linotype" w:hAnsi="Palatino Linotype"/>
          <w:sz w:val="22"/>
          <w:szCs w:val="22"/>
        </w:rPr>
        <w:t>Ft</w:t>
      </w:r>
      <w:r w:rsidR="00CB03E8">
        <w:rPr>
          <w:rFonts w:ascii="Palatino Linotype" w:hAnsi="Palatino Linotype"/>
          <w:sz w:val="22"/>
          <w:szCs w:val="22"/>
        </w:rPr>
        <w:t>T]</w:t>
      </w:r>
      <w:r w:rsidR="00C6525F" w:rsidRPr="0050354E">
        <w:rPr>
          <w:rFonts w:ascii="Palatino Linotype" w:hAnsi="Palatino Linotype"/>
          <w:sz w:val="22"/>
          <w:szCs w:val="22"/>
        </w:rPr>
        <w:t xml:space="preserve"> may make an order under subsection (2) where—</w:t>
      </w:r>
    </w:p>
    <w:p w14:paraId="25B698B1" w14:textId="1EDA5D04"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(a)</w:t>
      </w:r>
      <w:r>
        <w:rPr>
          <w:rFonts w:ascii="Palatino Linotype" w:hAnsi="Palatino Linotype"/>
          <w:sz w:val="22"/>
          <w:szCs w:val="22"/>
        </w:rPr>
        <w:tab/>
      </w:r>
      <w:r w:rsidR="00C6525F" w:rsidRPr="0050354E">
        <w:rPr>
          <w:rFonts w:ascii="Palatino Linotype" w:hAnsi="Palatino Linotype"/>
          <w:sz w:val="22"/>
          <w:szCs w:val="22"/>
        </w:rPr>
        <w:t>the landlord has failed to perform a duty arising by virtue of section 10 or 11 to provide the tenant with information,</w:t>
      </w:r>
    </w:p>
    <w:p w14:paraId="690C7BD1" w14:textId="081E14E2"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(b)</w:t>
      </w:r>
      <w:r>
        <w:rPr>
          <w:rFonts w:ascii="Palatino Linotype" w:hAnsi="Palatino Linotype"/>
          <w:sz w:val="22"/>
          <w:szCs w:val="22"/>
        </w:rPr>
        <w:tab/>
      </w:r>
      <w:r w:rsidR="00C6525F" w:rsidRPr="0050354E">
        <w:rPr>
          <w:rFonts w:ascii="Palatino Linotype" w:hAnsi="Palatino Linotype"/>
          <w:sz w:val="22"/>
          <w:szCs w:val="22"/>
        </w:rPr>
        <w:t xml:space="preserve">at the time the </w:t>
      </w:r>
      <w:r w:rsidR="00CB03E8">
        <w:rPr>
          <w:rFonts w:ascii="Palatino Linotype" w:hAnsi="Palatino Linotype"/>
          <w:sz w:val="22"/>
          <w:szCs w:val="22"/>
        </w:rPr>
        <w:t>[</w:t>
      </w:r>
      <w:r w:rsidR="00CB03E8" w:rsidRPr="0050354E">
        <w:rPr>
          <w:rFonts w:ascii="Palatino Linotype" w:hAnsi="Palatino Linotype"/>
          <w:sz w:val="22"/>
          <w:szCs w:val="22"/>
        </w:rPr>
        <w:t>Ft</w:t>
      </w:r>
      <w:r w:rsidR="00CB03E8">
        <w:rPr>
          <w:rFonts w:ascii="Palatino Linotype" w:hAnsi="Palatino Linotype"/>
          <w:sz w:val="22"/>
          <w:szCs w:val="22"/>
        </w:rPr>
        <w:t>T]</w:t>
      </w:r>
      <w:r w:rsidR="00C6525F" w:rsidRPr="0050354E">
        <w:rPr>
          <w:rFonts w:ascii="Palatino Linotype" w:hAnsi="Palatino Linotype"/>
          <w:sz w:val="22"/>
          <w:szCs w:val="22"/>
        </w:rPr>
        <w:t xml:space="preserve"> considers the application, the landlord has still not provided the tenant with the information, and</w:t>
      </w:r>
    </w:p>
    <w:p w14:paraId="1EF6DFA3" w14:textId="154F8972"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(c)</w:t>
      </w:r>
      <w:r>
        <w:rPr>
          <w:rFonts w:ascii="Palatino Linotype" w:hAnsi="Palatino Linotype"/>
          <w:sz w:val="22"/>
          <w:szCs w:val="22"/>
        </w:rPr>
        <w:tab/>
      </w:r>
      <w:r w:rsidR="00C6525F" w:rsidRPr="0050354E">
        <w:rPr>
          <w:rFonts w:ascii="Palatino Linotype" w:hAnsi="Palatino Linotype"/>
          <w:sz w:val="22"/>
          <w:szCs w:val="22"/>
        </w:rPr>
        <w:t>the landlord does not have a reasonable excuse for failing to perform the duty.</w:t>
      </w:r>
    </w:p>
    <w:p w14:paraId="7145E7A8" w14:textId="4F442CFF" w:rsidR="00C6525F" w:rsidRPr="0050354E" w:rsidRDefault="00C6525F" w:rsidP="008C5713">
      <w:pPr>
        <w:pStyle w:val="ListParagraph"/>
        <w:rPr>
          <w:rFonts w:ascii="Palatino Linotype" w:hAnsi="Palatino Linotype"/>
          <w:sz w:val="22"/>
          <w:szCs w:val="22"/>
        </w:rPr>
      </w:pPr>
      <w:r w:rsidRPr="0050354E">
        <w:rPr>
          <w:rFonts w:ascii="Palatino Linotype" w:hAnsi="Palatino Linotype"/>
          <w:sz w:val="22"/>
          <w:szCs w:val="22"/>
        </w:rPr>
        <w:t>(2)</w:t>
      </w:r>
      <w:r w:rsidR="008C5713">
        <w:rPr>
          <w:rFonts w:ascii="Palatino Linotype" w:hAnsi="Palatino Linotype"/>
          <w:sz w:val="22"/>
          <w:szCs w:val="22"/>
        </w:rPr>
        <w:tab/>
      </w:r>
      <w:r w:rsidRPr="0050354E">
        <w:rPr>
          <w:rFonts w:ascii="Palatino Linotype" w:hAnsi="Palatino Linotype"/>
          <w:sz w:val="22"/>
          <w:szCs w:val="22"/>
        </w:rPr>
        <w:t>An order under this subsection is one requiring the landlord to pay the person who made the application an amount not exceeding—</w:t>
      </w:r>
    </w:p>
    <w:p w14:paraId="21D4FEC3" w14:textId="43241D55"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(a)</w:t>
      </w:r>
      <w:r>
        <w:rPr>
          <w:rFonts w:ascii="Palatino Linotype" w:hAnsi="Palatino Linotype"/>
          <w:sz w:val="22"/>
          <w:szCs w:val="22"/>
        </w:rPr>
        <w:tab/>
      </w:r>
      <w:r w:rsidR="00C6525F" w:rsidRPr="0050354E">
        <w:rPr>
          <w:rFonts w:ascii="Palatino Linotype" w:hAnsi="Palatino Linotype"/>
          <w:sz w:val="22"/>
          <w:szCs w:val="22"/>
        </w:rPr>
        <w:t>three months' rent, if the order is in respect of a failure by the landlord to perform—</w:t>
      </w:r>
    </w:p>
    <w:p w14:paraId="033E3385" w14:textId="23EED3DA" w:rsidR="00C6525F" w:rsidRPr="0050354E" w:rsidRDefault="008C5713" w:rsidP="008C5713">
      <w:pPr>
        <w:pStyle w:val="ListParagraph"/>
        <w:ind w:right="227"/>
        <w:rPr>
          <w:rFonts w:ascii="Palatino Linotype" w:hAnsi="Palatino Linotype"/>
          <w:sz w:val="22"/>
          <w:szCs w:val="22"/>
        </w:rPr>
      </w:pPr>
      <w:r>
        <w:rPr>
          <w:rFonts w:ascii="Palatino Linotype" w:hAnsi="Palatino Linotype"/>
          <w:sz w:val="22"/>
          <w:szCs w:val="22"/>
        </w:rPr>
        <w:t>(i)</w:t>
      </w:r>
      <w:r>
        <w:rPr>
          <w:rFonts w:ascii="Palatino Linotype" w:hAnsi="Palatino Linotype"/>
          <w:sz w:val="22"/>
          <w:szCs w:val="22"/>
        </w:rPr>
        <w:tab/>
      </w:r>
      <w:r w:rsidR="00C6525F" w:rsidRPr="0050354E">
        <w:rPr>
          <w:rFonts w:ascii="Palatino Linotype" w:hAnsi="Palatino Linotype"/>
          <w:sz w:val="22"/>
          <w:szCs w:val="22"/>
        </w:rPr>
        <w:t>a duty arising by virtue of section 10, or</w:t>
      </w:r>
    </w:p>
    <w:p w14:paraId="044B1D08" w14:textId="65FA70B6"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(ii)</w:t>
      </w:r>
      <w:r>
        <w:rPr>
          <w:rFonts w:ascii="Palatino Linotype" w:hAnsi="Palatino Linotype"/>
          <w:sz w:val="22"/>
          <w:szCs w:val="22"/>
        </w:rPr>
        <w:tab/>
      </w:r>
      <w:r w:rsidR="00C6525F" w:rsidRPr="0050354E">
        <w:rPr>
          <w:rFonts w:ascii="Palatino Linotype" w:hAnsi="Palatino Linotype"/>
          <w:sz w:val="22"/>
          <w:szCs w:val="22"/>
        </w:rPr>
        <w:t>one or more duties arising by virtue of section 11,</w:t>
      </w:r>
    </w:p>
    <w:p w14:paraId="50A579B9" w14:textId="2BE04AB7"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(b)</w:t>
      </w:r>
      <w:r>
        <w:rPr>
          <w:rFonts w:ascii="Palatino Linotype" w:hAnsi="Palatino Linotype"/>
          <w:sz w:val="22"/>
          <w:szCs w:val="22"/>
        </w:rPr>
        <w:tab/>
      </w:r>
      <w:r w:rsidR="00C6525F" w:rsidRPr="0050354E">
        <w:rPr>
          <w:rFonts w:ascii="Palatino Linotype" w:hAnsi="Palatino Linotype"/>
          <w:sz w:val="22"/>
          <w:szCs w:val="22"/>
        </w:rPr>
        <w:t>six months' rent, if the order is in respect of a failure by the landlord to perform—</w:t>
      </w:r>
    </w:p>
    <w:p w14:paraId="773B996B" w14:textId="27F5529C"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(i)</w:t>
      </w:r>
      <w:r>
        <w:rPr>
          <w:rFonts w:ascii="Palatino Linotype" w:hAnsi="Palatino Linotype"/>
          <w:sz w:val="22"/>
          <w:szCs w:val="22"/>
        </w:rPr>
        <w:tab/>
      </w:r>
      <w:r w:rsidR="00C6525F" w:rsidRPr="0050354E">
        <w:rPr>
          <w:rFonts w:ascii="Palatino Linotype" w:hAnsi="Palatino Linotype"/>
          <w:sz w:val="22"/>
          <w:szCs w:val="22"/>
        </w:rPr>
        <w:t>a duty arising by virtue of section 10, and</w:t>
      </w:r>
    </w:p>
    <w:p w14:paraId="44798C04" w14:textId="03BD0CF8" w:rsidR="00C6525F" w:rsidRPr="0050354E" w:rsidRDefault="008C5713" w:rsidP="008C5713">
      <w:pPr>
        <w:pStyle w:val="ListParagraph"/>
        <w:rPr>
          <w:rFonts w:ascii="Palatino Linotype" w:hAnsi="Palatino Linotype"/>
          <w:sz w:val="22"/>
          <w:szCs w:val="22"/>
        </w:rPr>
      </w:pPr>
      <w:r>
        <w:rPr>
          <w:rFonts w:ascii="Palatino Linotype" w:hAnsi="Palatino Linotype"/>
          <w:sz w:val="22"/>
          <w:szCs w:val="22"/>
        </w:rPr>
        <w:t>(ii)</w:t>
      </w:r>
      <w:r>
        <w:rPr>
          <w:rFonts w:ascii="Palatino Linotype" w:hAnsi="Palatino Linotype"/>
          <w:sz w:val="22"/>
          <w:szCs w:val="22"/>
        </w:rPr>
        <w:tab/>
      </w:r>
      <w:r w:rsidR="00C6525F" w:rsidRPr="0050354E">
        <w:rPr>
          <w:rFonts w:ascii="Palatino Linotype" w:hAnsi="Palatino Linotype"/>
          <w:sz w:val="22"/>
          <w:szCs w:val="22"/>
        </w:rPr>
        <w:t>one or more duties arising by virtue of section 11.”</w:t>
      </w:r>
    </w:p>
    <w:p w14:paraId="05FD4FE5" w14:textId="77777777" w:rsidR="00C6525F" w:rsidRPr="0050354E" w:rsidRDefault="00C6525F" w:rsidP="008C5713">
      <w:pPr>
        <w:ind w:left="720"/>
        <w:rPr>
          <w:rFonts w:ascii="Palatino Linotype" w:hAnsi="Palatino Linotype"/>
          <w:sz w:val="22"/>
          <w:szCs w:val="22"/>
        </w:rPr>
      </w:pPr>
    </w:p>
    <w:p w14:paraId="61EEC0E2" w14:textId="60E540BD" w:rsidR="00C6525F" w:rsidRPr="0050354E" w:rsidRDefault="00C6525F" w:rsidP="008F7224">
      <w:pPr>
        <w:spacing w:line="480" w:lineRule="auto"/>
        <w:rPr>
          <w:rFonts w:ascii="Palatino Linotype" w:hAnsi="Palatino Linotype"/>
          <w:sz w:val="22"/>
          <w:szCs w:val="22"/>
        </w:rPr>
      </w:pPr>
      <w:r w:rsidRPr="0050354E">
        <w:rPr>
          <w:rFonts w:ascii="Palatino Linotype" w:hAnsi="Palatino Linotype"/>
          <w:sz w:val="22"/>
          <w:szCs w:val="22"/>
        </w:rPr>
        <w:t xml:space="preserve">The extent of possible sanction </w:t>
      </w:r>
      <w:r w:rsidR="00731C7A" w:rsidRPr="0050354E">
        <w:rPr>
          <w:rFonts w:ascii="Palatino Linotype" w:hAnsi="Palatino Linotype"/>
          <w:sz w:val="22"/>
          <w:szCs w:val="22"/>
        </w:rPr>
        <w:t xml:space="preserve">that may be imposed upon a respondent landlord </w:t>
      </w:r>
      <w:r w:rsidRPr="0050354E">
        <w:rPr>
          <w:rFonts w:ascii="Palatino Linotype" w:hAnsi="Palatino Linotype"/>
          <w:sz w:val="22"/>
          <w:szCs w:val="22"/>
        </w:rPr>
        <w:t xml:space="preserve">depends on whether there are breaches under </w:t>
      </w:r>
      <w:r w:rsidR="002B3D78" w:rsidRPr="0050354E">
        <w:rPr>
          <w:rFonts w:ascii="Palatino Linotype" w:hAnsi="Palatino Linotype"/>
          <w:sz w:val="22"/>
          <w:szCs w:val="22"/>
        </w:rPr>
        <w:t xml:space="preserve">both </w:t>
      </w:r>
      <w:r w:rsidRPr="0050354E">
        <w:rPr>
          <w:rFonts w:ascii="Palatino Linotype" w:hAnsi="Palatino Linotype"/>
          <w:sz w:val="22"/>
          <w:szCs w:val="22"/>
        </w:rPr>
        <w:t>section</w:t>
      </w:r>
      <w:r w:rsidR="006C5820">
        <w:rPr>
          <w:rFonts w:ascii="Palatino Linotype" w:hAnsi="Palatino Linotype"/>
          <w:sz w:val="22"/>
          <w:szCs w:val="22"/>
        </w:rPr>
        <w:t>s</w:t>
      </w:r>
      <w:r w:rsidRPr="0050354E">
        <w:rPr>
          <w:rFonts w:ascii="Palatino Linotype" w:hAnsi="Palatino Linotype"/>
          <w:sz w:val="22"/>
          <w:szCs w:val="22"/>
        </w:rPr>
        <w:t xml:space="preserve"> 10 and 11. </w:t>
      </w:r>
    </w:p>
    <w:p w14:paraId="5345E1B0" w14:textId="76D698CB" w:rsidR="00CF5EB1" w:rsidRPr="0050354E" w:rsidRDefault="004B39BC"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 xml:space="preserve">In its decision </w:t>
      </w:r>
      <w:r w:rsidR="002B3D78" w:rsidRPr="0050354E">
        <w:rPr>
          <w:rFonts w:ascii="Palatino Linotype" w:hAnsi="Palatino Linotype" w:cs="Arial"/>
          <w:sz w:val="22"/>
          <w:szCs w:val="22"/>
        </w:rPr>
        <w:t>of 28 February 2019 to gr</w:t>
      </w:r>
      <w:r w:rsidR="006C5820">
        <w:rPr>
          <w:rFonts w:ascii="Palatino Linotype" w:hAnsi="Palatino Linotype" w:cs="Arial"/>
          <w:sz w:val="22"/>
          <w:szCs w:val="22"/>
        </w:rPr>
        <w:t>ant permission to appeal</w:t>
      </w:r>
      <w:r w:rsidR="002B3D78" w:rsidRPr="0050354E">
        <w:rPr>
          <w:rFonts w:ascii="Palatino Linotype" w:hAnsi="Palatino Linotype" w:cs="Arial"/>
          <w:sz w:val="22"/>
          <w:szCs w:val="22"/>
        </w:rPr>
        <w:t xml:space="preserve"> </w:t>
      </w:r>
      <w:r w:rsidRPr="0050354E">
        <w:rPr>
          <w:rFonts w:ascii="Palatino Linotype" w:hAnsi="Palatino Linotype" w:cs="Arial"/>
          <w:sz w:val="22"/>
          <w:szCs w:val="22"/>
        </w:rPr>
        <w:t xml:space="preserve">the FtT expressly stated </w:t>
      </w:r>
      <w:r w:rsidR="00E305DD" w:rsidRPr="0050354E">
        <w:rPr>
          <w:rFonts w:ascii="Palatino Linotype" w:hAnsi="Palatino Linotype" w:cs="Arial"/>
          <w:sz w:val="22"/>
          <w:szCs w:val="22"/>
        </w:rPr>
        <w:t xml:space="preserve">at paragraph </w:t>
      </w:r>
      <w:r w:rsidR="00AC684F" w:rsidRPr="0050354E">
        <w:rPr>
          <w:rFonts w:ascii="Palatino Linotype" w:hAnsi="Palatino Linotype" w:cs="Arial"/>
          <w:sz w:val="22"/>
          <w:szCs w:val="22"/>
        </w:rPr>
        <w:t xml:space="preserve">17 </w:t>
      </w:r>
      <w:r w:rsidRPr="0050354E">
        <w:rPr>
          <w:rFonts w:ascii="Palatino Linotype" w:hAnsi="Palatino Linotype" w:cs="Arial"/>
          <w:sz w:val="22"/>
          <w:szCs w:val="22"/>
        </w:rPr>
        <w:t xml:space="preserve">that </w:t>
      </w:r>
      <w:r w:rsidR="00A81F8C" w:rsidRPr="0050354E">
        <w:rPr>
          <w:rFonts w:ascii="Palatino Linotype" w:hAnsi="Palatino Linotype" w:cs="Arial"/>
          <w:sz w:val="22"/>
          <w:szCs w:val="22"/>
        </w:rPr>
        <w:t xml:space="preserve">it had </w:t>
      </w:r>
      <w:r w:rsidR="00AC684F" w:rsidRPr="0050354E">
        <w:rPr>
          <w:rFonts w:ascii="Palatino Linotype" w:hAnsi="Palatino Linotype" w:cs="Arial"/>
          <w:sz w:val="22"/>
          <w:szCs w:val="22"/>
        </w:rPr>
        <w:t>no</w:t>
      </w:r>
      <w:r w:rsidR="00A81F8C" w:rsidRPr="0050354E">
        <w:rPr>
          <w:rFonts w:ascii="Palatino Linotype" w:hAnsi="Palatino Linotype" w:cs="Arial"/>
          <w:sz w:val="22"/>
          <w:szCs w:val="22"/>
        </w:rPr>
        <w:t>t</w:t>
      </w:r>
      <w:r w:rsidR="00C377AE" w:rsidRPr="0050354E">
        <w:rPr>
          <w:rFonts w:ascii="Palatino Linotype" w:hAnsi="Palatino Linotype" w:cs="Arial"/>
          <w:sz w:val="22"/>
          <w:szCs w:val="22"/>
        </w:rPr>
        <w:t xml:space="preserve"> </w:t>
      </w:r>
      <w:r w:rsidR="00A81F8C" w:rsidRPr="0050354E">
        <w:rPr>
          <w:rFonts w:ascii="Palatino Linotype" w:hAnsi="Palatino Linotype" w:cs="Arial"/>
          <w:sz w:val="22"/>
          <w:szCs w:val="22"/>
        </w:rPr>
        <w:t xml:space="preserve">given </w:t>
      </w:r>
      <w:r w:rsidR="00C377AE" w:rsidRPr="0050354E">
        <w:rPr>
          <w:rFonts w:ascii="Palatino Linotype" w:hAnsi="Palatino Linotype" w:cs="Arial"/>
          <w:sz w:val="22"/>
          <w:szCs w:val="22"/>
        </w:rPr>
        <w:t xml:space="preserve">substantive consideration </w:t>
      </w:r>
      <w:r w:rsidR="00A81F8C" w:rsidRPr="0050354E">
        <w:rPr>
          <w:rFonts w:ascii="Palatino Linotype" w:hAnsi="Palatino Linotype" w:cs="Arial"/>
          <w:sz w:val="22"/>
          <w:szCs w:val="22"/>
        </w:rPr>
        <w:t>t</w:t>
      </w:r>
      <w:r w:rsidR="00E305DD" w:rsidRPr="0050354E">
        <w:rPr>
          <w:rFonts w:ascii="Palatino Linotype" w:hAnsi="Palatino Linotype" w:cs="Arial"/>
          <w:sz w:val="22"/>
          <w:szCs w:val="22"/>
        </w:rPr>
        <w:t>o the three limbs of section 16(</w:t>
      </w:r>
      <w:r w:rsidR="00C377AE" w:rsidRPr="0050354E">
        <w:rPr>
          <w:rFonts w:ascii="Palatino Linotype" w:hAnsi="Palatino Linotype" w:cs="Arial"/>
          <w:sz w:val="22"/>
          <w:szCs w:val="22"/>
        </w:rPr>
        <w:t>1)</w:t>
      </w:r>
      <w:r w:rsidR="00F4421F" w:rsidRPr="0050354E">
        <w:rPr>
          <w:rFonts w:ascii="Palatino Linotype" w:hAnsi="Palatino Linotype" w:cs="Arial"/>
          <w:sz w:val="22"/>
          <w:szCs w:val="22"/>
        </w:rPr>
        <w:t>(a),(b) and (c)</w:t>
      </w:r>
      <w:r w:rsidR="00C377AE" w:rsidRPr="0050354E">
        <w:rPr>
          <w:rFonts w:ascii="Palatino Linotype" w:hAnsi="Palatino Linotype" w:cs="Arial"/>
          <w:sz w:val="22"/>
          <w:szCs w:val="22"/>
        </w:rPr>
        <w:t xml:space="preserve"> of the 2016 Act </w:t>
      </w:r>
      <w:r w:rsidR="009E4417" w:rsidRPr="0050354E">
        <w:rPr>
          <w:rFonts w:ascii="Palatino Linotype" w:hAnsi="Palatino Linotype" w:cs="Arial"/>
          <w:sz w:val="22"/>
          <w:szCs w:val="22"/>
        </w:rPr>
        <w:t>in its original decision on the application</w:t>
      </w:r>
      <w:r w:rsidR="00AC684F" w:rsidRPr="0050354E">
        <w:rPr>
          <w:rFonts w:ascii="Palatino Linotype" w:hAnsi="Palatino Linotype" w:cs="Arial"/>
          <w:sz w:val="22"/>
          <w:szCs w:val="22"/>
        </w:rPr>
        <w:t xml:space="preserve">. </w:t>
      </w:r>
      <w:r w:rsidR="00151297" w:rsidRPr="0050354E">
        <w:rPr>
          <w:rFonts w:ascii="Palatino Linotype" w:hAnsi="Palatino Linotype" w:cs="Arial"/>
          <w:sz w:val="22"/>
          <w:szCs w:val="22"/>
        </w:rPr>
        <w:t xml:space="preserve">This is not what emerges from a close reading of the </w:t>
      </w:r>
      <w:r w:rsidR="0017349F" w:rsidRPr="0050354E">
        <w:rPr>
          <w:rFonts w:ascii="Palatino Linotype" w:hAnsi="Palatino Linotype" w:cs="Arial"/>
          <w:sz w:val="22"/>
          <w:szCs w:val="22"/>
        </w:rPr>
        <w:t>original</w:t>
      </w:r>
      <w:r w:rsidR="00731C7A" w:rsidRPr="0050354E">
        <w:rPr>
          <w:rFonts w:ascii="Palatino Linotype" w:hAnsi="Palatino Linotype" w:cs="Arial"/>
          <w:sz w:val="22"/>
          <w:szCs w:val="22"/>
        </w:rPr>
        <w:t xml:space="preserve"> decision of 15 January 2019 </w:t>
      </w:r>
      <w:r w:rsidR="00151297" w:rsidRPr="0050354E">
        <w:rPr>
          <w:rFonts w:ascii="Palatino Linotype" w:hAnsi="Palatino Linotype" w:cs="Arial"/>
          <w:sz w:val="22"/>
          <w:szCs w:val="22"/>
        </w:rPr>
        <w:t xml:space="preserve">which </w:t>
      </w:r>
      <w:r w:rsidR="00731C7A" w:rsidRPr="0050354E">
        <w:rPr>
          <w:rFonts w:ascii="Palatino Linotype" w:hAnsi="Palatino Linotype" w:cs="Arial"/>
          <w:sz w:val="22"/>
          <w:szCs w:val="22"/>
        </w:rPr>
        <w:t>ran to 16 pages of single spaced type and consisted of 74 paragraphs. A</w:t>
      </w:r>
      <w:r w:rsidR="00CF5EB1" w:rsidRPr="0050354E">
        <w:rPr>
          <w:rFonts w:ascii="Palatino Linotype" w:hAnsi="Palatino Linotype" w:cs="Arial"/>
          <w:sz w:val="22"/>
          <w:szCs w:val="22"/>
        </w:rPr>
        <w:t>l</w:t>
      </w:r>
      <w:r w:rsidR="006C5820">
        <w:rPr>
          <w:rFonts w:ascii="Palatino Linotype" w:hAnsi="Palatino Linotype" w:cs="Arial"/>
          <w:sz w:val="22"/>
          <w:szCs w:val="22"/>
        </w:rPr>
        <w:t>though the F</w:t>
      </w:r>
      <w:r w:rsidR="00731C7A" w:rsidRPr="0050354E">
        <w:rPr>
          <w:rFonts w:ascii="Palatino Linotype" w:hAnsi="Palatino Linotype" w:cs="Arial"/>
          <w:sz w:val="22"/>
          <w:szCs w:val="22"/>
        </w:rPr>
        <w:t>t</w:t>
      </w:r>
      <w:r w:rsidR="006C5820">
        <w:rPr>
          <w:rFonts w:ascii="Palatino Linotype" w:hAnsi="Palatino Linotype" w:cs="Arial"/>
          <w:sz w:val="22"/>
          <w:szCs w:val="22"/>
        </w:rPr>
        <w:t>T</w:t>
      </w:r>
      <w:r w:rsidR="00731C7A" w:rsidRPr="0050354E">
        <w:rPr>
          <w:rFonts w:ascii="Palatino Linotype" w:hAnsi="Palatino Linotype" w:cs="Arial"/>
          <w:sz w:val="22"/>
          <w:szCs w:val="22"/>
        </w:rPr>
        <w:t xml:space="preserve"> is significantly deficient in its form for the reasons d</w:t>
      </w:r>
      <w:r w:rsidR="001309D5" w:rsidRPr="0050354E">
        <w:rPr>
          <w:rFonts w:ascii="Palatino Linotype" w:hAnsi="Palatino Linotype" w:cs="Arial"/>
          <w:sz w:val="22"/>
          <w:szCs w:val="22"/>
        </w:rPr>
        <w:t>iscussed above and set out more fully in the decision</w:t>
      </w:r>
      <w:r w:rsidR="007E35CF" w:rsidRPr="0050354E">
        <w:rPr>
          <w:rFonts w:ascii="Palatino Linotype" w:hAnsi="Palatino Linotype" w:cs="Arial"/>
          <w:sz w:val="22"/>
          <w:szCs w:val="22"/>
        </w:rPr>
        <w:t xml:space="preserve"> of this Tribunal dated 9</w:t>
      </w:r>
      <w:r w:rsidR="001309D5" w:rsidRPr="0050354E">
        <w:rPr>
          <w:rFonts w:ascii="Palatino Linotype" w:hAnsi="Palatino Linotype" w:cs="Arial"/>
          <w:sz w:val="22"/>
          <w:szCs w:val="22"/>
        </w:rPr>
        <w:t xml:space="preserve"> September 2019</w:t>
      </w:r>
      <w:r w:rsidR="000A6222" w:rsidRPr="0050354E">
        <w:rPr>
          <w:rFonts w:ascii="Palatino Linotype" w:hAnsi="Palatino Linotype" w:cs="Arial"/>
          <w:sz w:val="22"/>
          <w:szCs w:val="22"/>
        </w:rPr>
        <w:t xml:space="preserve">, it does contain an attempt at </w:t>
      </w:r>
      <w:r w:rsidR="00731C7A" w:rsidRPr="0050354E">
        <w:rPr>
          <w:rFonts w:ascii="Palatino Linotype" w:hAnsi="Palatino Linotype" w:cs="Arial"/>
          <w:sz w:val="22"/>
          <w:szCs w:val="22"/>
        </w:rPr>
        <w:t xml:space="preserve">analysis of the issues that arise under section 16.  </w:t>
      </w:r>
      <w:r w:rsidR="007E35CF" w:rsidRPr="0050354E">
        <w:rPr>
          <w:rFonts w:ascii="Palatino Linotype" w:hAnsi="Palatino Linotype" w:cs="Arial"/>
          <w:sz w:val="22"/>
          <w:szCs w:val="22"/>
        </w:rPr>
        <w:t>T</w:t>
      </w:r>
      <w:r w:rsidR="00C83686" w:rsidRPr="0050354E">
        <w:rPr>
          <w:rFonts w:ascii="Palatino Linotype" w:hAnsi="Palatino Linotype" w:cs="Arial"/>
          <w:sz w:val="22"/>
          <w:szCs w:val="22"/>
        </w:rPr>
        <w:t>he FtT</w:t>
      </w:r>
      <w:r w:rsidR="00F4421F" w:rsidRPr="0050354E">
        <w:rPr>
          <w:rFonts w:ascii="Palatino Linotype" w:hAnsi="Palatino Linotype" w:cs="Arial"/>
          <w:sz w:val="22"/>
          <w:szCs w:val="22"/>
        </w:rPr>
        <w:t xml:space="preserve"> explained how it would have decided </w:t>
      </w:r>
      <w:r w:rsidR="00CF5EB1" w:rsidRPr="0050354E">
        <w:rPr>
          <w:rFonts w:ascii="Palatino Linotype" w:hAnsi="Palatino Linotype" w:cs="Arial"/>
          <w:sz w:val="22"/>
          <w:szCs w:val="22"/>
        </w:rPr>
        <w:t xml:space="preserve">at least some of </w:t>
      </w:r>
      <w:r w:rsidR="00F4421F" w:rsidRPr="0050354E">
        <w:rPr>
          <w:rFonts w:ascii="Palatino Linotype" w:hAnsi="Palatino Linotype" w:cs="Arial"/>
          <w:sz w:val="22"/>
          <w:szCs w:val="22"/>
        </w:rPr>
        <w:t>the issues that arose under section 16(1)</w:t>
      </w:r>
      <w:r w:rsidR="00C83686" w:rsidRPr="0050354E">
        <w:rPr>
          <w:rFonts w:ascii="Palatino Linotype" w:hAnsi="Palatino Linotype" w:cs="Arial"/>
          <w:sz w:val="22"/>
          <w:szCs w:val="22"/>
        </w:rPr>
        <w:t xml:space="preserve"> </w:t>
      </w:r>
      <w:r w:rsidR="00CF5EB1" w:rsidRPr="0050354E">
        <w:rPr>
          <w:rFonts w:ascii="Palatino Linotype" w:hAnsi="Palatino Linotype" w:cs="Arial"/>
          <w:sz w:val="22"/>
          <w:szCs w:val="22"/>
        </w:rPr>
        <w:t xml:space="preserve">which </w:t>
      </w:r>
      <w:r w:rsidR="00C83686" w:rsidRPr="0050354E">
        <w:rPr>
          <w:rFonts w:ascii="Palatino Linotype" w:hAnsi="Palatino Linotype" w:cs="Arial"/>
          <w:sz w:val="22"/>
          <w:szCs w:val="22"/>
        </w:rPr>
        <w:t>were before it for consideration</w:t>
      </w:r>
      <w:r w:rsidR="006C5820">
        <w:rPr>
          <w:rFonts w:ascii="Palatino Linotype" w:hAnsi="Palatino Linotype" w:cs="Arial"/>
          <w:sz w:val="22"/>
          <w:szCs w:val="22"/>
        </w:rPr>
        <w:t xml:space="preserve"> had it concluded there was a PRT</w:t>
      </w:r>
      <w:r w:rsidR="00F4421F" w:rsidRPr="0050354E">
        <w:rPr>
          <w:rFonts w:ascii="Palatino Linotype" w:hAnsi="Palatino Linotype" w:cs="Arial"/>
          <w:sz w:val="22"/>
          <w:szCs w:val="22"/>
        </w:rPr>
        <w:t xml:space="preserve">. </w:t>
      </w:r>
      <w:r w:rsidR="007E35CF" w:rsidRPr="0050354E">
        <w:rPr>
          <w:rFonts w:ascii="Palatino Linotype" w:hAnsi="Palatino Linotype" w:cs="Arial"/>
          <w:sz w:val="22"/>
          <w:szCs w:val="22"/>
        </w:rPr>
        <w:t xml:space="preserve"> T</w:t>
      </w:r>
      <w:r w:rsidR="00F4421F" w:rsidRPr="0050354E">
        <w:rPr>
          <w:rFonts w:ascii="Palatino Linotype" w:hAnsi="Palatino Linotype" w:cs="Arial"/>
          <w:sz w:val="22"/>
          <w:szCs w:val="22"/>
        </w:rPr>
        <w:t>here is suffic</w:t>
      </w:r>
      <w:r w:rsidR="007E35CF" w:rsidRPr="0050354E">
        <w:rPr>
          <w:rFonts w:ascii="Palatino Linotype" w:hAnsi="Palatino Linotype" w:cs="Arial"/>
          <w:sz w:val="22"/>
          <w:szCs w:val="22"/>
        </w:rPr>
        <w:t xml:space="preserve">ient information available in the </w:t>
      </w:r>
      <w:r w:rsidR="00151297" w:rsidRPr="0050354E">
        <w:rPr>
          <w:rFonts w:ascii="Palatino Linotype" w:hAnsi="Palatino Linotype" w:cs="Arial"/>
          <w:sz w:val="22"/>
          <w:szCs w:val="22"/>
        </w:rPr>
        <w:t>decision of the FtT under appeal</w:t>
      </w:r>
      <w:r w:rsidR="007E35CF" w:rsidRPr="0050354E">
        <w:rPr>
          <w:rFonts w:ascii="Palatino Linotype" w:hAnsi="Palatino Linotype" w:cs="Arial"/>
          <w:sz w:val="22"/>
          <w:szCs w:val="22"/>
        </w:rPr>
        <w:t xml:space="preserve"> to allow this Tribunal</w:t>
      </w:r>
      <w:r w:rsidR="00F4421F" w:rsidRPr="0050354E">
        <w:rPr>
          <w:rFonts w:ascii="Palatino Linotype" w:hAnsi="Palatino Linotype" w:cs="Arial"/>
          <w:sz w:val="22"/>
          <w:szCs w:val="22"/>
        </w:rPr>
        <w:t xml:space="preserve"> to </w:t>
      </w:r>
      <w:r w:rsidR="003E57AB">
        <w:rPr>
          <w:rFonts w:ascii="Palatino Linotype" w:hAnsi="Palatino Linotype" w:cs="Arial"/>
          <w:sz w:val="22"/>
          <w:szCs w:val="22"/>
        </w:rPr>
        <w:t>re</w:t>
      </w:r>
      <w:r w:rsidR="00F4421F" w:rsidRPr="0050354E">
        <w:rPr>
          <w:rFonts w:ascii="Palatino Linotype" w:hAnsi="Palatino Linotype" w:cs="Arial"/>
          <w:sz w:val="22"/>
          <w:szCs w:val="22"/>
        </w:rPr>
        <w:t xml:space="preserve">make </w:t>
      </w:r>
      <w:r w:rsidR="003E57AB">
        <w:rPr>
          <w:rFonts w:ascii="Palatino Linotype" w:hAnsi="Palatino Linotype" w:cs="Arial"/>
          <w:sz w:val="22"/>
          <w:szCs w:val="22"/>
        </w:rPr>
        <w:t xml:space="preserve">the decision and </w:t>
      </w:r>
      <w:r w:rsidR="001309D5" w:rsidRPr="0050354E">
        <w:rPr>
          <w:rFonts w:ascii="Palatino Linotype" w:hAnsi="Palatino Linotype" w:cs="Arial"/>
          <w:sz w:val="22"/>
          <w:szCs w:val="22"/>
        </w:rPr>
        <w:t xml:space="preserve">determine this application without the need to remit to </w:t>
      </w:r>
      <w:r w:rsidR="003E57AB">
        <w:rPr>
          <w:rFonts w:ascii="Palatino Linotype" w:hAnsi="Palatino Linotype" w:cs="Arial"/>
          <w:sz w:val="22"/>
          <w:szCs w:val="22"/>
        </w:rPr>
        <w:t>a differently constituted</w:t>
      </w:r>
      <w:r w:rsidR="000A6222" w:rsidRPr="0050354E">
        <w:rPr>
          <w:rFonts w:ascii="Palatino Linotype" w:hAnsi="Palatino Linotype" w:cs="Arial"/>
          <w:sz w:val="22"/>
          <w:szCs w:val="22"/>
        </w:rPr>
        <w:t xml:space="preserve"> FtT to make further findings</w:t>
      </w:r>
      <w:r w:rsidR="00F4421F" w:rsidRPr="0050354E">
        <w:rPr>
          <w:rFonts w:ascii="Palatino Linotype" w:hAnsi="Palatino Linotype" w:cs="Arial"/>
          <w:sz w:val="22"/>
          <w:szCs w:val="22"/>
        </w:rPr>
        <w:t xml:space="preserve">. </w:t>
      </w:r>
    </w:p>
    <w:p w14:paraId="224588B1" w14:textId="0595BDCA" w:rsidR="00CF5EB1" w:rsidRPr="0050354E" w:rsidRDefault="00AA5276"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sz w:val="22"/>
          <w:szCs w:val="22"/>
        </w:rPr>
        <w:t>At paragraph 69 of the decision of 15 January 2019 t</w:t>
      </w:r>
      <w:r w:rsidR="00CF5EB1" w:rsidRPr="0050354E">
        <w:rPr>
          <w:rFonts w:ascii="Palatino Linotype" w:hAnsi="Palatino Linotype"/>
          <w:sz w:val="22"/>
          <w:szCs w:val="22"/>
        </w:rPr>
        <w:t xml:space="preserve">he FtT </w:t>
      </w:r>
      <w:r w:rsidR="00AC2283" w:rsidRPr="0050354E">
        <w:rPr>
          <w:rFonts w:ascii="Palatino Linotype" w:hAnsi="Palatino Linotype"/>
          <w:sz w:val="22"/>
          <w:szCs w:val="22"/>
        </w:rPr>
        <w:t xml:space="preserve">expressly </w:t>
      </w:r>
      <w:r w:rsidR="00A207B9" w:rsidRPr="0050354E">
        <w:rPr>
          <w:rFonts w:ascii="Palatino Linotype" w:hAnsi="Palatino Linotype"/>
          <w:sz w:val="22"/>
          <w:szCs w:val="22"/>
        </w:rPr>
        <w:t>addressed</w:t>
      </w:r>
      <w:r w:rsidR="00AC2283" w:rsidRPr="0050354E">
        <w:rPr>
          <w:rFonts w:ascii="Palatino Linotype" w:hAnsi="Palatino Linotype"/>
          <w:sz w:val="22"/>
          <w:szCs w:val="22"/>
        </w:rPr>
        <w:t xml:space="preserve"> section 16(1)(a) and the respondents</w:t>
      </w:r>
      <w:r w:rsidR="001309D5" w:rsidRPr="0050354E">
        <w:rPr>
          <w:rFonts w:ascii="Palatino Linotype" w:hAnsi="Palatino Linotype"/>
          <w:sz w:val="22"/>
          <w:szCs w:val="22"/>
        </w:rPr>
        <w:t>’</w:t>
      </w:r>
      <w:r w:rsidR="00AC2283" w:rsidRPr="0050354E">
        <w:rPr>
          <w:rFonts w:ascii="Palatino Linotype" w:hAnsi="Palatino Linotype"/>
          <w:sz w:val="22"/>
          <w:szCs w:val="22"/>
        </w:rPr>
        <w:t xml:space="preserve"> obligation under section 11. The FtT</w:t>
      </w:r>
      <w:r w:rsidR="00CF5EB1" w:rsidRPr="0050354E">
        <w:rPr>
          <w:rFonts w:ascii="Palatino Linotype" w:hAnsi="Palatino Linotype"/>
          <w:sz w:val="22"/>
          <w:szCs w:val="22"/>
        </w:rPr>
        <w:t xml:space="preserve"> </w:t>
      </w:r>
      <w:r w:rsidR="00A207B9" w:rsidRPr="0050354E">
        <w:rPr>
          <w:rFonts w:ascii="Palatino Linotype" w:hAnsi="Palatino Linotype"/>
          <w:sz w:val="22"/>
          <w:szCs w:val="22"/>
        </w:rPr>
        <w:t xml:space="preserve">stated </w:t>
      </w:r>
      <w:r w:rsidR="00CF5EB1" w:rsidRPr="0050354E">
        <w:rPr>
          <w:rFonts w:ascii="Palatino Linotype" w:hAnsi="Palatino Linotype"/>
          <w:sz w:val="22"/>
          <w:szCs w:val="22"/>
        </w:rPr>
        <w:t>that had it not decided that there was no le</w:t>
      </w:r>
      <w:r w:rsidRPr="0050354E">
        <w:rPr>
          <w:rFonts w:ascii="Palatino Linotype" w:hAnsi="Palatino Linotype"/>
          <w:sz w:val="22"/>
          <w:szCs w:val="22"/>
        </w:rPr>
        <w:t>a</w:t>
      </w:r>
      <w:r w:rsidR="00CF5EB1" w:rsidRPr="0050354E">
        <w:rPr>
          <w:rFonts w:ascii="Palatino Linotype" w:hAnsi="Palatino Linotype"/>
          <w:sz w:val="22"/>
          <w:szCs w:val="22"/>
        </w:rPr>
        <w:t>se it would have concluded that the respondents had complied with their duty under section 11.</w:t>
      </w:r>
      <w:r w:rsidR="00A207B9" w:rsidRPr="0050354E">
        <w:rPr>
          <w:rFonts w:ascii="Palatino Linotype" w:hAnsi="Palatino Linotype"/>
          <w:sz w:val="22"/>
          <w:szCs w:val="22"/>
        </w:rPr>
        <w:t xml:space="preserve"> That</w:t>
      </w:r>
      <w:r w:rsidRPr="0050354E">
        <w:rPr>
          <w:rFonts w:ascii="Palatino Linotype" w:hAnsi="Palatino Linotype"/>
          <w:sz w:val="22"/>
          <w:szCs w:val="22"/>
        </w:rPr>
        <w:t xml:space="preserve"> conclusion is a properly reasoned one</w:t>
      </w:r>
      <w:r w:rsidR="001309D5" w:rsidRPr="0050354E">
        <w:rPr>
          <w:rFonts w:ascii="Palatino Linotype" w:hAnsi="Palatino Linotype"/>
          <w:sz w:val="22"/>
          <w:szCs w:val="22"/>
        </w:rPr>
        <w:t>. Ha</w:t>
      </w:r>
      <w:r w:rsidR="00A207B9" w:rsidRPr="0050354E">
        <w:rPr>
          <w:rFonts w:ascii="Palatino Linotype" w:hAnsi="Palatino Linotype"/>
          <w:sz w:val="22"/>
          <w:szCs w:val="22"/>
        </w:rPr>
        <w:t>d the FtT not erred in law in its conclusion as to the existence of a PRT it would have been entitled to decide that there was no breach of section 11</w:t>
      </w:r>
      <w:r w:rsidRPr="0050354E">
        <w:rPr>
          <w:rFonts w:ascii="Palatino Linotype" w:hAnsi="Palatino Linotype"/>
          <w:sz w:val="22"/>
          <w:szCs w:val="22"/>
        </w:rPr>
        <w:t xml:space="preserve">. </w:t>
      </w:r>
      <w:r w:rsidR="00A207B9" w:rsidRPr="0050354E">
        <w:rPr>
          <w:rFonts w:ascii="Palatino Linotype" w:hAnsi="Palatino Linotype"/>
          <w:sz w:val="22"/>
          <w:szCs w:val="22"/>
        </w:rPr>
        <w:t>That is significant because it meant that the respondents</w:t>
      </w:r>
      <w:r w:rsidR="00A14EB7" w:rsidRPr="0050354E">
        <w:rPr>
          <w:rFonts w:ascii="Palatino Linotype" w:hAnsi="Palatino Linotype"/>
          <w:sz w:val="22"/>
          <w:szCs w:val="22"/>
        </w:rPr>
        <w:t>’</w:t>
      </w:r>
      <w:r w:rsidR="00A207B9" w:rsidRPr="0050354E">
        <w:rPr>
          <w:rFonts w:ascii="Palatino Linotype" w:hAnsi="Palatino Linotype"/>
          <w:sz w:val="22"/>
          <w:szCs w:val="22"/>
        </w:rPr>
        <w:t xml:space="preserve"> exposure to liability an award under section 16(2) could only be a maximum of three months’ rent. </w:t>
      </w:r>
      <w:r w:rsidR="001309D5" w:rsidRPr="0050354E">
        <w:rPr>
          <w:rFonts w:ascii="Palatino Linotype" w:hAnsi="Palatino Linotype"/>
          <w:sz w:val="22"/>
          <w:szCs w:val="22"/>
        </w:rPr>
        <w:t xml:space="preserve">I </w:t>
      </w:r>
      <w:r w:rsidR="005B3649">
        <w:rPr>
          <w:rFonts w:ascii="Palatino Linotype" w:hAnsi="Palatino Linotype"/>
          <w:sz w:val="22"/>
          <w:szCs w:val="22"/>
        </w:rPr>
        <w:t>have made findings that reflect</w:t>
      </w:r>
      <w:r w:rsidR="001309D5" w:rsidRPr="0050354E">
        <w:rPr>
          <w:rFonts w:ascii="Palatino Linotype" w:hAnsi="Palatino Linotype"/>
          <w:sz w:val="22"/>
          <w:szCs w:val="22"/>
        </w:rPr>
        <w:t xml:space="preserve"> the conclusion of the FtT on the section 11 aspects of this case. </w:t>
      </w:r>
    </w:p>
    <w:p w14:paraId="042D3AF2" w14:textId="67BDE42C" w:rsidR="007F5555" w:rsidRPr="0050354E" w:rsidRDefault="0017349F"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 xml:space="preserve">At paragraph 70 </w:t>
      </w:r>
      <w:r w:rsidRPr="0050354E">
        <w:rPr>
          <w:rFonts w:ascii="Palatino Linotype" w:hAnsi="Palatino Linotype"/>
          <w:sz w:val="22"/>
          <w:szCs w:val="22"/>
        </w:rPr>
        <w:t xml:space="preserve">of the decision of 15 January 2019 the FtT expressly addressed section 16(1)(a) and the respondents' obligation under section 10 to provide terms of the tenancy. </w:t>
      </w:r>
      <w:r w:rsidR="007F5555" w:rsidRPr="0050354E">
        <w:rPr>
          <w:rFonts w:ascii="Palatino Linotype" w:hAnsi="Palatino Linotype"/>
          <w:sz w:val="22"/>
          <w:szCs w:val="22"/>
        </w:rPr>
        <w:t xml:space="preserve">That discussion criticises the appellant for failing to give notice prior to the hearing as to why she was not content with the terms of tenancy which the </w:t>
      </w:r>
      <w:r w:rsidR="0017303C" w:rsidRPr="0050354E">
        <w:rPr>
          <w:rFonts w:ascii="Palatino Linotype" w:hAnsi="Palatino Linotype"/>
          <w:sz w:val="22"/>
          <w:szCs w:val="22"/>
        </w:rPr>
        <w:t>respondents sought to impose on her. With respect</w:t>
      </w:r>
      <w:r w:rsidR="000A6222" w:rsidRPr="0050354E">
        <w:rPr>
          <w:rFonts w:ascii="Palatino Linotype" w:hAnsi="Palatino Linotype"/>
          <w:sz w:val="22"/>
          <w:szCs w:val="22"/>
        </w:rPr>
        <w:t>,</w:t>
      </w:r>
      <w:r w:rsidR="0017303C" w:rsidRPr="0050354E">
        <w:rPr>
          <w:rFonts w:ascii="Palatino Linotype" w:hAnsi="Palatino Linotype"/>
          <w:sz w:val="22"/>
          <w:szCs w:val="22"/>
        </w:rPr>
        <w:t xml:space="preserve"> the FtT’s ana</w:t>
      </w:r>
      <w:r w:rsidR="003E57AB">
        <w:rPr>
          <w:rFonts w:ascii="Palatino Linotype" w:hAnsi="Palatino Linotype"/>
          <w:sz w:val="22"/>
          <w:szCs w:val="22"/>
        </w:rPr>
        <w:t>lysis on this point is misconceived</w:t>
      </w:r>
      <w:r w:rsidR="0017303C" w:rsidRPr="0050354E">
        <w:rPr>
          <w:rFonts w:ascii="Palatino Linotype" w:hAnsi="Palatino Linotype"/>
          <w:sz w:val="22"/>
          <w:szCs w:val="22"/>
        </w:rPr>
        <w:t xml:space="preserve">. It was plain that the appellant objected to the </w:t>
      </w:r>
      <w:r w:rsidR="000A6222" w:rsidRPr="0050354E">
        <w:rPr>
          <w:rFonts w:ascii="Palatino Linotype" w:hAnsi="Palatino Linotype"/>
          <w:sz w:val="22"/>
          <w:szCs w:val="22"/>
        </w:rPr>
        <w:t xml:space="preserve">attempted </w:t>
      </w:r>
      <w:r w:rsidR="0017303C" w:rsidRPr="0050354E">
        <w:rPr>
          <w:rFonts w:ascii="Palatino Linotype" w:hAnsi="Palatino Linotype"/>
          <w:sz w:val="22"/>
          <w:szCs w:val="22"/>
        </w:rPr>
        <w:t xml:space="preserve">imposition </w:t>
      </w:r>
      <w:r w:rsidR="005B3649">
        <w:rPr>
          <w:rFonts w:ascii="Palatino Linotype" w:hAnsi="Palatino Linotype"/>
          <w:sz w:val="22"/>
          <w:szCs w:val="22"/>
        </w:rPr>
        <w:t xml:space="preserve">by the respondents </w:t>
      </w:r>
      <w:r w:rsidR="0017303C" w:rsidRPr="0050354E">
        <w:rPr>
          <w:rFonts w:ascii="Palatino Linotype" w:hAnsi="Palatino Linotype"/>
          <w:sz w:val="22"/>
          <w:szCs w:val="22"/>
        </w:rPr>
        <w:t>of joint and several liability for the whole flat. For the reasons set out above</w:t>
      </w:r>
      <w:r w:rsidR="001309D5" w:rsidRPr="0050354E">
        <w:rPr>
          <w:rFonts w:ascii="Palatino Linotype" w:hAnsi="Palatino Linotype"/>
          <w:sz w:val="22"/>
          <w:szCs w:val="22"/>
        </w:rPr>
        <w:t>,</w:t>
      </w:r>
      <w:r w:rsidR="0017303C" w:rsidRPr="0050354E">
        <w:rPr>
          <w:rFonts w:ascii="Palatino Linotype" w:hAnsi="Palatino Linotype"/>
          <w:sz w:val="22"/>
          <w:szCs w:val="22"/>
        </w:rPr>
        <w:t xml:space="preserve"> she was </w:t>
      </w:r>
      <w:r w:rsidR="001309D5" w:rsidRPr="0050354E">
        <w:rPr>
          <w:rFonts w:ascii="Palatino Linotype" w:hAnsi="Palatino Linotype"/>
          <w:sz w:val="22"/>
          <w:szCs w:val="22"/>
        </w:rPr>
        <w:t>correct</w:t>
      </w:r>
      <w:r w:rsidR="0017303C" w:rsidRPr="0050354E">
        <w:rPr>
          <w:rFonts w:ascii="Palatino Linotype" w:hAnsi="Palatino Linotype"/>
          <w:sz w:val="22"/>
          <w:szCs w:val="22"/>
        </w:rPr>
        <w:t xml:space="preserve"> to do so. The respondents</w:t>
      </w:r>
      <w:r w:rsidR="001309D5" w:rsidRPr="0050354E">
        <w:rPr>
          <w:rFonts w:ascii="Palatino Linotype" w:hAnsi="Palatino Linotype"/>
          <w:sz w:val="22"/>
          <w:szCs w:val="22"/>
        </w:rPr>
        <w:t>’</w:t>
      </w:r>
      <w:r w:rsidR="0017303C" w:rsidRPr="0050354E">
        <w:rPr>
          <w:rFonts w:ascii="Palatino Linotype" w:hAnsi="Palatino Linotype"/>
          <w:sz w:val="22"/>
          <w:szCs w:val="22"/>
        </w:rPr>
        <w:t xml:space="preserve"> erroneous</w:t>
      </w:r>
      <w:r w:rsidR="001309D5" w:rsidRPr="0050354E">
        <w:rPr>
          <w:rFonts w:ascii="Palatino Linotype" w:hAnsi="Palatino Linotype"/>
          <w:sz w:val="22"/>
          <w:szCs w:val="22"/>
        </w:rPr>
        <w:t>ly</w:t>
      </w:r>
      <w:r w:rsidR="0017303C" w:rsidRPr="0050354E">
        <w:rPr>
          <w:rFonts w:ascii="Palatino Linotype" w:hAnsi="Palatino Linotype"/>
          <w:sz w:val="22"/>
          <w:szCs w:val="22"/>
        </w:rPr>
        <w:t xml:space="preserve"> insiste</w:t>
      </w:r>
      <w:r w:rsidR="001309D5" w:rsidRPr="0050354E">
        <w:rPr>
          <w:rFonts w:ascii="Palatino Linotype" w:hAnsi="Palatino Linotype"/>
          <w:sz w:val="22"/>
          <w:szCs w:val="22"/>
        </w:rPr>
        <w:t>d</w:t>
      </w:r>
      <w:r w:rsidR="0017303C" w:rsidRPr="0050354E">
        <w:rPr>
          <w:rFonts w:ascii="Palatino Linotype" w:hAnsi="Palatino Linotype"/>
          <w:sz w:val="22"/>
          <w:szCs w:val="22"/>
        </w:rPr>
        <w:t xml:space="preserve"> </w:t>
      </w:r>
      <w:r w:rsidR="005B3649">
        <w:rPr>
          <w:rFonts w:ascii="Palatino Linotype" w:hAnsi="Palatino Linotype"/>
          <w:sz w:val="22"/>
          <w:szCs w:val="22"/>
        </w:rPr>
        <w:t xml:space="preserve">before </w:t>
      </w:r>
      <w:r w:rsidR="0017303C" w:rsidRPr="0050354E">
        <w:rPr>
          <w:rFonts w:ascii="Palatino Linotype" w:hAnsi="Palatino Linotype"/>
          <w:sz w:val="22"/>
          <w:szCs w:val="22"/>
        </w:rPr>
        <w:t xml:space="preserve">the FtT on trying </w:t>
      </w:r>
      <w:r w:rsidR="0017303C" w:rsidRPr="0050354E">
        <w:rPr>
          <w:rFonts w:ascii="Palatino Linotype" w:hAnsi="Palatino Linotype" w:cs="Arial"/>
          <w:sz w:val="22"/>
          <w:szCs w:val="22"/>
          <w:lang w:val="en-GB"/>
        </w:rPr>
        <w:t xml:space="preserve">to create what was, on the evidence, a legal fiction </w:t>
      </w:r>
      <w:r w:rsidR="001309D5" w:rsidRPr="0050354E">
        <w:rPr>
          <w:rFonts w:ascii="Palatino Linotype" w:hAnsi="Palatino Linotype" w:cs="Arial"/>
          <w:sz w:val="22"/>
          <w:szCs w:val="22"/>
          <w:lang w:val="en-GB"/>
        </w:rPr>
        <w:t>as to joint and several liability</w:t>
      </w:r>
      <w:r w:rsidR="005B3649">
        <w:rPr>
          <w:rFonts w:ascii="Palatino Linotype" w:hAnsi="Palatino Linotype" w:cs="Arial"/>
          <w:sz w:val="22"/>
          <w:szCs w:val="22"/>
          <w:lang w:val="en-GB"/>
        </w:rPr>
        <w:t xml:space="preserve">. </w:t>
      </w:r>
    </w:p>
    <w:p w14:paraId="4017B4BB" w14:textId="7AE7666A" w:rsidR="00A14EB7" w:rsidRPr="0050354E" w:rsidRDefault="00A14EB7"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Standing the decision of this Tribunal that there was a PRT on the basis of a rent of £350 per month, it is indisputable that that the respondents have not complied with section 16(1)(a) as regards the duty to provide the terms of the tenancy in writing under section 10. Further</w:t>
      </w:r>
      <w:r w:rsidR="007F5555" w:rsidRPr="0050354E">
        <w:rPr>
          <w:rFonts w:ascii="Palatino Linotype" w:hAnsi="Palatino Linotype" w:cs="Arial"/>
          <w:sz w:val="22"/>
          <w:szCs w:val="22"/>
        </w:rPr>
        <w:t>,</w:t>
      </w:r>
      <w:r w:rsidRPr="0050354E">
        <w:rPr>
          <w:rFonts w:ascii="Palatino Linotype" w:hAnsi="Palatino Linotype" w:cs="Arial"/>
          <w:sz w:val="22"/>
          <w:szCs w:val="22"/>
        </w:rPr>
        <w:t xml:space="preserve"> as none of the five documents proffered by the respondents in the FtT proceedings accurately reflected the terms of the tenancy they had entered into with the appellant in a material respect, it is indisputable that for the purposes of section 16(1)(b) they continued to be in breach of the section 10 duty. </w:t>
      </w:r>
      <w:r w:rsidR="001309D5" w:rsidRPr="0050354E">
        <w:rPr>
          <w:rFonts w:ascii="Palatino Linotype" w:hAnsi="Palatino Linotype" w:cs="Arial"/>
          <w:sz w:val="22"/>
          <w:szCs w:val="22"/>
        </w:rPr>
        <w:t xml:space="preserve">I have </w:t>
      </w:r>
      <w:r w:rsidR="001309D5" w:rsidRPr="0050354E">
        <w:rPr>
          <w:rFonts w:ascii="Palatino Linotype" w:hAnsi="Palatino Linotype"/>
          <w:sz w:val="22"/>
          <w:szCs w:val="22"/>
        </w:rPr>
        <w:t>made findings that reflect this conclusion on the section 10 aspects of this case.</w:t>
      </w:r>
      <w:r w:rsidR="001309D5" w:rsidRPr="0050354E">
        <w:rPr>
          <w:rFonts w:ascii="Palatino Linotype" w:hAnsi="Palatino Linotype" w:cs="Arial"/>
          <w:sz w:val="22"/>
          <w:szCs w:val="22"/>
        </w:rPr>
        <w:t xml:space="preserve"> </w:t>
      </w:r>
      <w:r w:rsidR="007F5555" w:rsidRPr="0050354E">
        <w:rPr>
          <w:rFonts w:ascii="Palatino Linotype" w:hAnsi="Palatino Linotype" w:cs="Arial"/>
          <w:sz w:val="22"/>
          <w:szCs w:val="22"/>
          <w:lang w:val="en-GB"/>
        </w:rPr>
        <w:t xml:space="preserve">These findings follow from the error of law </w:t>
      </w:r>
      <w:r w:rsidR="003E57AB">
        <w:rPr>
          <w:rFonts w:ascii="Palatino Linotype" w:hAnsi="Palatino Linotype" w:cs="Arial"/>
          <w:sz w:val="22"/>
          <w:szCs w:val="22"/>
          <w:lang w:val="en-GB"/>
        </w:rPr>
        <w:t xml:space="preserve">as to the existence of a PRT </w:t>
      </w:r>
      <w:r w:rsidR="007F5555" w:rsidRPr="0050354E">
        <w:rPr>
          <w:rFonts w:ascii="Palatino Linotype" w:hAnsi="Palatino Linotype" w:cs="Arial"/>
          <w:sz w:val="22"/>
          <w:szCs w:val="22"/>
          <w:lang w:val="en-GB"/>
        </w:rPr>
        <w:t xml:space="preserve">identified in this decision. </w:t>
      </w:r>
    </w:p>
    <w:p w14:paraId="7AC7FE74" w14:textId="28CD4A04" w:rsidR="00E75D40" w:rsidRPr="0050354E" w:rsidRDefault="002A13DB"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rPr>
        <w:t>At paragraph 71</w:t>
      </w:r>
      <w:r w:rsidR="00AA5276" w:rsidRPr="0050354E">
        <w:rPr>
          <w:rFonts w:ascii="Palatino Linotype" w:hAnsi="Palatino Linotype" w:cs="Arial"/>
          <w:sz w:val="22"/>
          <w:szCs w:val="22"/>
        </w:rPr>
        <w:t xml:space="preserve"> </w:t>
      </w:r>
      <w:r w:rsidR="00AA5276" w:rsidRPr="0050354E">
        <w:rPr>
          <w:rFonts w:ascii="Palatino Linotype" w:hAnsi="Palatino Linotype"/>
          <w:sz w:val="22"/>
          <w:szCs w:val="22"/>
        </w:rPr>
        <w:t>of the decision of 15 January 2019</w:t>
      </w:r>
      <w:r w:rsidR="00151297" w:rsidRPr="0050354E">
        <w:rPr>
          <w:rFonts w:ascii="Palatino Linotype" w:hAnsi="Palatino Linotype"/>
          <w:sz w:val="22"/>
          <w:szCs w:val="22"/>
        </w:rPr>
        <w:t>,</w:t>
      </w:r>
      <w:r w:rsidR="00AA5276" w:rsidRPr="0050354E">
        <w:rPr>
          <w:rFonts w:ascii="Palatino Linotype" w:hAnsi="Palatino Linotype"/>
          <w:sz w:val="22"/>
          <w:szCs w:val="22"/>
        </w:rPr>
        <w:t xml:space="preserve"> the FtT discusses</w:t>
      </w:r>
      <w:r w:rsidR="00AC2283" w:rsidRPr="0050354E">
        <w:rPr>
          <w:rFonts w:ascii="Palatino Linotype" w:hAnsi="Palatino Linotype"/>
          <w:sz w:val="22"/>
          <w:szCs w:val="22"/>
        </w:rPr>
        <w:t xml:space="preserve"> the issues which arise under section 16(1)(c)</w:t>
      </w:r>
      <w:r w:rsidRPr="0050354E">
        <w:rPr>
          <w:rFonts w:ascii="Palatino Linotype" w:hAnsi="Palatino Linotype"/>
          <w:sz w:val="22"/>
          <w:szCs w:val="22"/>
        </w:rPr>
        <w:t xml:space="preserve"> at </w:t>
      </w:r>
      <w:r w:rsidR="00A207B9" w:rsidRPr="0050354E">
        <w:rPr>
          <w:rFonts w:ascii="Palatino Linotype" w:hAnsi="Palatino Linotype"/>
          <w:sz w:val="22"/>
          <w:szCs w:val="22"/>
        </w:rPr>
        <w:t>length</w:t>
      </w:r>
      <w:r w:rsidRPr="0050354E">
        <w:rPr>
          <w:rFonts w:ascii="Palatino Linotype" w:hAnsi="Palatino Linotype"/>
          <w:sz w:val="22"/>
          <w:szCs w:val="22"/>
        </w:rPr>
        <w:t xml:space="preserve">. </w:t>
      </w:r>
      <w:r w:rsidR="001309D5" w:rsidRPr="0050354E">
        <w:rPr>
          <w:rFonts w:ascii="Palatino Linotype" w:hAnsi="Palatino Linotype"/>
          <w:sz w:val="22"/>
          <w:szCs w:val="22"/>
        </w:rPr>
        <w:t>T</w:t>
      </w:r>
      <w:r w:rsidRPr="0050354E">
        <w:rPr>
          <w:rFonts w:ascii="Palatino Linotype" w:hAnsi="Palatino Linotype"/>
          <w:sz w:val="22"/>
          <w:szCs w:val="22"/>
        </w:rPr>
        <w:t>hat</w:t>
      </w:r>
      <w:r w:rsidR="00A207B9" w:rsidRPr="0050354E">
        <w:rPr>
          <w:rFonts w:ascii="Palatino Linotype" w:hAnsi="Palatino Linotype"/>
          <w:sz w:val="22"/>
          <w:szCs w:val="22"/>
        </w:rPr>
        <w:t xml:space="preserve"> discussion </w:t>
      </w:r>
      <w:r w:rsidRPr="0050354E">
        <w:rPr>
          <w:rFonts w:ascii="Palatino Linotype" w:hAnsi="Palatino Linotype"/>
          <w:sz w:val="22"/>
          <w:szCs w:val="22"/>
        </w:rPr>
        <w:t xml:space="preserve">is </w:t>
      </w:r>
      <w:r w:rsidR="005B3649">
        <w:rPr>
          <w:rFonts w:ascii="Palatino Linotype" w:hAnsi="Palatino Linotype"/>
          <w:sz w:val="22"/>
          <w:szCs w:val="22"/>
        </w:rPr>
        <w:t xml:space="preserve">also </w:t>
      </w:r>
      <w:r w:rsidR="00A207B9" w:rsidRPr="0050354E">
        <w:rPr>
          <w:rFonts w:ascii="Palatino Linotype" w:hAnsi="Palatino Linotype"/>
          <w:sz w:val="22"/>
          <w:szCs w:val="22"/>
        </w:rPr>
        <w:t>tainted by the error of law which has been identified in this decision</w:t>
      </w:r>
      <w:r w:rsidR="006640A6" w:rsidRPr="0050354E">
        <w:rPr>
          <w:rFonts w:ascii="Palatino Linotype" w:hAnsi="Palatino Linotype"/>
          <w:sz w:val="22"/>
          <w:szCs w:val="22"/>
        </w:rPr>
        <w:t>. T</w:t>
      </w:r>
      <w:r w:rsidR="008C17F8" w:rsidRPr="0050354E">
        <w:rPr>
          <w:rFonts w:ascii="Palatino Linotype" w:hAnsi="Palatino Linotype"/>
          <w:sz w:val="22"/>
          <w:szCs w:val="22"/>
        </w:rPr>
        <w:t xml:space="preserve">he FtT </w:t>
      </w:r>
      <w:r w:rsidR="009C3E24" w:rsidRPr="0050354E">
        <w:rPr>
          <w:rFonts w:ascii="Palatino Linotype" w:hAnsi="Palatino Linotype"/>
          <w:sz w:val="22"/>
          <w:szCs w:val="22"/>
        </w:rPr>
        <w:t xml:space="preserve">abstained from </w:t>
      </w:r>
      <w:r w:rsidR="008C17F8" w:rsidRPr="0050354E">
        <w:rPr>
          <w:rFonts w:ascii="Palatino Linotype" w:hAnsi="Palatino Linotype"/>
          <w:sz w:val="22"/>
          <w:szCs w:val="22"/>
        </w:rPr>
        <w:t xml:space="preserve">criticism of </w:t>
      </w:r>
      <w:r w:rsidRPr="0050354E">
        <w:rPr>
          <w:rFonts w:ascii="Palatino Linotype" w:hAnsi="Palatino Linotype"/>
          <w:sz w:val="22"/>
          <w:szCs w:val="22"/>
        </w:rPr>
        <w:t>the conduct of the respondents</w:t>
      </w:r>
      <w:r w:rsidR="006640A6" w:rsidRPr="0050354E">
        <w:rPr>
          <w:rFonts w:ascii="Palatino Linotype" w:hAnsi="Palatino Linotype"/>
          <w:sz w:val="22"/>
          <w:szCs w:val="22"/>
        </w:rPr>
        <w:t xml:space="preserve"> because it thought that both parties had made assumptions which were not shared by the other when the appellant took occupancy. This error follows from the FtT’s failure to </w:t>
      </w:r>
      <w:r w:rsidR="001309D5" w:rsidRPr="0050354E">
        <w:rPr>
          <w:rFonts w:ascii="Palatino Linotype" w:hAnsi="Palatino Linotype"/>
          <w:sz w:val="22"/>
          <w:szCs w:val="22"/>
        </w:rPr>
        <w:t>conclude</w:t>
      </w:r>
      <w:r w:rsidR="006640A6" w:rsidRPr="0050354E">
        <w:rPr>
          <w:rFonts w:ascii="Palatino Linotype" w:hAnsi="Palatino Linotype"/>
          <w:sz w:val="22"/>
          <w:szCs w:val="22"/>
        </w:rPr>
        <w:t xml:space="preserve"> that as a matter of law there was a concluded contract of lease </w:t>
      </w:r>
      <w:r w:rsidR="009C3E24" w:rsidRPr="0050354E">
        <w:rPr>
          <w:rFonts w:ascii="Palatino Linotype" w:hAnsi="Palatino Linotype"/>
          <w:sz w:val="22"/>
          <w:szCs w:val="22"/>
        </w:rPr>
        <w:t>which was a PRT</w:t>
      </w:r>
      <w:r w:rsidR="006640A6" w:rsidRPr="0050354E">
        <w:rPr>
          <w:rFonts w:ascii="Palatino Linotype" w:hAnsi="Palatino Linotype"/>
          <w:sz w:val="22"/>
          <w:szCs w:val="22"/>
        </w:rPr>
        <w:t>.</w:t>
      </w:r>
      <w:r w:rsidRPr="0050354E">
        <w:rPr>
          <w:rFonts w:ascii="Palatino Linotype" w:hAnsi="Palatino Linotype"/>
          <w:sz w:val="22"/>
          <w:szCs w:val="22"/>
        </w:rPr>
        <w:t xml:space="preserve"> </w:t>
      </w:r>
      <w:r w:rsidR="001309D5" w:rsidRPr="0050354E">
        <w:rPr>
          <w:rFonts w:ascii="Palatino Linotype" w:hAnsi="Palatino Linotype"/>
          <w:sz w:val="22"/>
          <w:szCs w:val="22"/>
        </w:rPr>
        <w:t>T</w:t>
      </w:r>
      <w:r w:rsidRPr="0050354E">
        <w:rPr>
          <w:rFonts w:ascii="Palatino Linotype" w:hAnsi="Palatino Linotype" w:cs="Arial"/>
          <w:sz w:val="22"/>
          <w:szCs w:val="22"/>
          <w:lang w:val="en-GB"/>
        </w:rPr>
        <w:t>he respondents tried to create what was, on the evidence, a legal fiction. It was their insistence on seeking to impose joint and several liability where none existed that has been central to the dispute that has arisen between the parties. The FtT’s discussion of section 16(1)</w:t>
      </w:r>
      <w:r w:rsidR="008C17F8" w:rsidRPr="0050354E">
        <w:rPr>
          <w:rFonts w:ascii="Palatino Linotype" w:hAnsi="Palatino Linotype" w:cs="Arial"/>
          <w:sz w:val="22"/>
          <w:szCs w:val="22"/>
          <w:lang w:val="en-GB"/>
        </w:rPr>
        <w:t xml:space="preserve">(c) is inadequate. </w:t>
      </w:r>
    </w:p>
    <w:p w14:paraId="576A4E9D" w14:textId="248AB17F" w:rsidR="003F7916" w:rsidRPr="0050354E" w:rsidRDefault="00A36BC4" w:rsidP="008F7224">
      <w:pPr>
        <w:pStyle w:val="ListParagraph"/>
        <w:numPr>
          <w:ilvl w:val="0"/>
          <w:numId w:val="19"/>
        </w:numPr>
        <w:spacing w:line="480" w:lineRule="auto"/>
        <w:ind w:left="0" w:firstLine="0"/>
        <w:rPr>
          <w:rFonts w:ascii="Palatino Linotype" w:hAnsi="Palatino Linotype" w:cs="Arial"/>
          <w:sz w:val="22"/>
          <w:szCs w:val="22"/>
        </w:rPr>
      </w:pPr>
      <w:r>
        <w:rPr>
          <w:rFonts w:ascii="Palatino Linotype" w:hAnsi="Palatino Linotype" w:cs="Arial"/>
          <w:sz w:val="22"/>
          <w:szCs w:val="22"/>
          <w:lang w:val="en-GB"/>
        </w:rPr>
        <w:t>Having determined that this Tribunal is in a position to conclude that the respondents have breached section 10 but not section 11, c</w:t>
      </w:r>
      <w:r w:rsidR="00E75D40" w:rsidRPr="0050354E">
        <w:rPr>
          <w:rFonts w:ascii="Palatino Linotype" w:hAnsi="Palatino Linotype" w:cs="Arial"/>
          <w:sz w:val="22"/>
          <w:szCs w:val="22"/>
          <w:lang w:val="en-GB"/>
        </w:rPr>
        <w:t xml:space="preserve">onsideration has been given to whether </w:t>
      </w:r>
      <w:r w:rsidR="004E194A" w:rsidRPr="0050354E">
        <w:rPr>
          <w:rFonts w:ascii="Palatino Linotype" w:hAnsi="Palatino Linotype" w:cs="Arial"/>
          <w:sz w:val="22"/>
          <w:szCs w:val="22"/>
          <w:lang w:val="en-GB"/>
        </w:rPr>
        <w:t xml:space="preserve">this </w:t>
      </w:r>
      <w:r>
        <w:rPr>
          <w:rFonts w:ascii="Palatino Linotype" w:hAnsi="Palatino Linotype" w:cs="Arial"/>
          <w:sz w:val="22"/>
          <w:szCs w:val="22"/>
          <w:lang w:val="en-GB"/>
        </w:rPr>
        <w:t xml:space="preserve">Tribunal was in a position to </w:t>
      </w:r>
      <w:r w:rsidR="008C17F8" w:rsidRPr="0050354E">
        <w:rPr>
          <w:rFonts w:ascii="Palatino Linotype" w:hAnsi="Palatino Linotype" w:cs="Arial"/>
          <w:sz w:val="22"/>
          <w:szCs w:val="22"/>
          <w:lang w:val="en-GB"/>
        </w:rPr>
        <w:t>consider t</w:t>
      </w:r>
      <w:r w:rsidR="00212D91">
        <w:rPr>
          <w:rFonts w:ascii="Palatino Linotype" w:hAnsi="Palatino Linotype" w:cs="Arial"/>
          <w:sz w:val="22"/>
          <w:szCs w:val="22"/>
          <w:lang w:val="en-GB"/>
        </w:rPr>
        <w:t>h</w:t>
      </w:r>
      <w:r w:rsidR="008C17F8" w:rsidRPr="0050354E">
        <w:rPr>
          <w:rFonts w:ascii="Palatino Linotype" w:hAnsi="Palatino Linotype" w:cs="Arial"/>
          <w:sz w:val="22"/>
          <w:szCs w:val="22"/>
          <w:lang w:val="en-GB"/>
        </w:rPr>
        <w:t xml:space="preserve">e </w:t>
      </w:r>
      <w:r w:rsidR="00212D91">
        <w:rPr>
          <w:rFonts w:ascii="Palatino Linotype" w:hAnsi="Palatino Linotype" w:cs="Arial"/>
          <w:sz w:val="22"/>
          <w:szCs w:val="22"/>
          <w:lang w:val="en-GB"/>
        </w:rPr>
        <w:t xml:space="preserve">remaining </w:t>
      </w:r>
      <w:r w:rsidR="008C17F8" w:rsidRPr="0050354E">
        <w:rPr>
          <w:rFonts w:ascii="Palatino Linotype" w:hAnsi="Palatino Linotype" w:cs="Arial"/>
          <w:sz w:val="22"/>
          <w:szCs w:val="22"/>
          <w:lang w:val="en-GB"/>
        </w:rPr>
        <w:t xml:space="preserve">issues which were not properly addressed by the FtT due to the error of law </w:t>
      </w:r>
      <w:r w:rsidR="003F7916" w:rsidRPr="0050354E">
        <w:rPr>
          <w:rFonts w:ascii="Palatino Linotype" w:hAnsi="Palatino Linotype" w:cs="Arial"/>
          <w:sz w:val="22"/>
          <w:szCs w:val="22"/>
          <w:lang w:val="en-GB"/>
        </w:rPr>
        <w:t>which it made in failing to conclude that there was a PRT. These matters are the issue of reasonable excuse under section 16(1)(c) and</w:t>
      </w:r>
      <w:r w:rsidR="009C3E24" w:rsidRPr="0050354E">
        <w:rPr>
          <w:rFonts w:ascii="Palatino Linotype" w:hAnsi="Palatino Linotype" w:cs="Arial"/>
          <w:sz w:val="22"/>
          <w:szCs w:val="22"/>
          <w:lang w:val="en-GB"/>
        </w:rPr>
        <w:t>,</w:t>
      </w:r>
      <w:r w:rsidR="003F7916" w:rsidRPr="0050354E">
        <w:rPr>
          <w:rFonts w:ascii="Palatino Linotype" w:hAnsi="Palatino Linotype" w:cs="Arial"/>
          <w:sz w:val="22"/>
          <w:szCs w:val="22"/>
          <w:lang w:val="en-GB"/>
        </w:rPr>
        <w:t xml:space="preserve"> </w:t>
      </w:r>
      <w:r w:rsidR="009C3E24" w:rsidRPr="0050354E">
        <w:rPr>
          <w:rFonts w:ascii="Palatino Linotype" w:hAnsi="Palatino Linotype" w:cs="Arial"/>
          <w:sz w:val="22"/>
          <w:szCs w:val="22"/>
          <w:lang w:val="en-GB"/>
        </w:rPr>
        <w:t xml:space="preserve">in the event that the conclusion is that there was no reasonable excuse, </w:t>
      </w:r>
      <w:r w:rsidR="003F7916" w:rsidRPr="0050354E">
        <w:rPr>
          <w:rFonts w:ascii="Palatino Linotype" w:hAnsi="Palatino Linotype" w:cs="Arial"/>
          <w:sz w:val="22"/>
          <w:szCs w:val="22"/>
          <w:lang w:val="en-GB"/>
        </w:rPr>
        <w:t xml:space="preserve">the appropriate level of any discretionary penalty under section 16(2). </w:t>
      </w:r>
      <w:r w:rsidR="00E75D40" w:rsidRPr="0050354E">
        <w:rPr>
          <w:rFonts w:ascii="Palatino Linotype" w:hAnsi="Palatino Linotype" w:cs="Arial"/>
          <w:sz w:val="22"/>
          <w:szCs w:val="22"/>
          <w:lang w:val="en-GB"/>
        </w:rPr>
        <w:t xml:space="preserve">Any such remit would delay further the determination of this case. </w:t>
      </w:r>
    </w:p>
    <w:p w14:paraId="18F92233" w14:textId="6C80276A" w:rsidR="00A12D35" w:rsidRPr="0050354E" w:rsidRDefault="00E75D40" w:rsidP="008F7224">
      <w:pPr>
        <w:pStyle w:val="ListParagraph"/>
        <w:numPr>
          <w:ilvl w:val="0"/>
          <w:numId w:val="19"/>
        </w:numPr>
        <w:spacing w:line="480" w:lineRule="auto"/>
        <w:ind w:left="0" w:firstLine="0"/>
        <w:rPr>
          <w:rFonts w:ascii="Palatino Linotype" w:hAnsi="Palatino Linotype" w:cs="Arial"/>
          <w:sz w:val="22"/>
          <w:szCs w:val="22"/>
        </w:rPr>
      </w:pPr>
      <w:r w:rsidRPr="0050354E">
        <w:rPr>
          <w:rFonts w:ascii="Palatino Linotype" w:hAnsi="Palatino Linotype" w:cs="Arial"/>
          <w:sz w:val="22"/>
          <w:szCs w:val="22"/>
          <w:lang w:val="en-GB"/>
        </w:rPr>
        <w:t>This Tribunal has enough information</w:t>
      </w:r>
      <w:r w:rsidR="009C3E24" w:rsidRPr="0050354E">
        <w:rPr>
          <w:rFonts w:ascii="Palatino Linotype" w:hAnsi="Palatino Linotype" w:cs="Arial"/>
          <w:sz w:val="22"/>
          <w:szCs w:val="22"/>
          <w:lang w:val="en-GB"/>
        </w:rPr>
        <w:t xml:space="preserve"> </w:t>
      </w:r>
      <w:r w:rsidR="00F8164F">
        <w:rPr>
          <w:rFonts w:ascii="Palatino Linotype" w:hAnsi="Palatino Linotype" w:cs="Arial"/>
          <w:sz w:val="22"/>
          <w:szCs w:val="22"/>
          <w:lang w:val="en-GB"/>
        </w:rPr>
        <w:t xml:space="preserve">available to it </w:t>
      </w:r>
      <w:r w:rsidR="009C3E24" w:rsidRPr="0050354E">
        <w:rPr>
          <w:rFonts w:ascii="Palatino Linotype" w:hAnsi="Palatino Linotype" w:cs="Arial"/>
          <w:sz w:val="22"/>
          <w:szCs w:val="22"/>
          <w:lang w:val="en-GB"/>
        </w:rPr>
        <w:t>to allow it to decide both</w:t>
      </w:r>
      <w:r w:rsidRPr="0050354E">
        <w:rPr>
          <w:rFonts w:ascii="Palatino Linotype" w:hAnsi="Palatino Linotype" w:cs="Arial"/>
          <w:sz w:val="22"/>
          <w:szCs w:val="22"/>
          <w:lang w:val="en-GB"/>
        </w:rPr>
        <w:t xml:space="preserve"> </w:t>
      </w:r>
      <w:r w:rsidR="009C3E24" w:rsidRPr="0050354E">
        <w:rPr>
          <w:rFonts w:ascii="Palatino Linotype" w:hAnsi="Palatino Linotype" w:cs="Arial"/>
          <w:sz w:val="22"/>
          <w:szCs w:val="22"/>
          <w:lang w:val="en-GB"/>
        </w:rPr>
        <w:t xml:space="preserve">of these </w:t>
      </w:r>
      <w:r w:rsidRPr="0050354E">
        <w:rPr>
          <w:rFonts w:ascii="Palatino Linotype" w:hAnsi="Palatino Linotype" w:cs="Arial"/>
          <w:sz w:val="22"/>
          <w:szCs w:val="22"/>
          <w:lang w:val="en-GB"/>
        </w:rPr>
        <w:t>question</w:t>
      </w:r>
      <w:r w:rsidR="009C3E24" w:rsidRPr="0050354E">
        <w:rPr>
          <w:rFonts w:ascii="Palatino Linotype" w:hAnsi="Palatino Linotype" w:cs="Arial"/>
          <w:sz w:val="22"/>
          <w:szCs w:val="22"/>
          <w:lang w:val="en-GB"/>
        </w:rPr>
        <w:t>s</w:t>
      </w:r>
      <w:r w:rsidRPr="0050354E">
        <w:rPr>
          <w:rFonts w:ascii="Palatino Linotype" w:hAnsi="Palatino Linotype" w:cs="Arial"/>
          <w:sz w:val="22"/>
          <w:szCs w:val="22"/>
          <w:lang w:val="en-GB"/>
        </w:rPr>
        <w:t xml:space="preserve">. </w:t>
      </w:r>
      <w:r w:rsidR="00A36BC4">
        <w:rPr>
          <w:rFonts w:ascii="Palatino Linotype" w:hAnsi="Palatino Linotype" w:cs="Arial"/>
          <w:sz w:val="22"/>
          <w:szCs w:val="22"/>
          <w:lang w:val="en-GB"/>
        </w:rPr>
        <w:t>T</w:t>
      </w:r>
      <w:r w:rsidRPr="0050354E">
        <w:rPr>
          <w:rFonts w:ascii="Palatino Linotype" w:hAnsi="Palatino Linotype" w:cs="Arial"/>
          <w:sz w:val="22"/>
          <w:szCs w:val="22"/>
          <w:lang w:val="en-GB"/>
        </w:rPr>
        <w:t xml:space="preserve">he approach taken by the respondents was a deliberate attempt to impose conditions that were oppressive in their terms and which related to a matter </w:t>
      </w:r>
      <w:r w:rsidR="00A36BC4">
        <w:rPr>
          <w:rFonts w:ascii="Palatino Linotype" w:hAnsi="Palatino Linotype" w:cs="Arial"/>
          <w:sz w:val="22"/>
          <w:szCs w:val="22"/>
          <w:lang w:val="en-GB"/>
        </w:rPr>
        <w:t xml:space="preserve">(joint and several liability) which was </w:t>
      </w:r>
      <w:r w:rsidRPr="0050354E">
        <w:rPr>
          <w:rFonts w:ascii="Palatino Linotype" w:hAnsi="Palatino Linotype" w:cs="Arial"/>
          <w:sz w:val="22"/>
          <w:szCs w:val="22"/>
          <w:lang w:val="en-GB"/>
        </w:rPr>
        <w:t xml:space="preserve">not discussed between the parties prior to the conclusion of the PRT contract. </w:t>
      </w:r>
      <w:r w:rsidR="00A36BC4">
        <w:rPr>
          <w:rFonts w:ascii="Palatino Linotype" w:hAnsi="Palatino Linotype" w:cs="Arial"/>
          <w:sz w:val="22"/>
          <w:szCs w:val="22"/>
          <w:lang w:val="en-GB"/>
        </w:rPr>
        <w:t xml:space="preserve">All five sets of written terms proffered to the FtT failed to reflect the terms that the parties had agreed when they entered into the PRT. </w:t>
      </w:r>
      <w:r w:rsidR="00A36BC4" w:rsidRPr="0050354E">
        <w:rPr>
          <w:rFonts w:ascii="Palatino Linotype" w:hAnsi="Palatino Linotype" w:cs="Arial"/>
          <w:sz w:val="22"/>
          <w:szCs w:val="22"/>
          <w:lang w:val="en-GB"/>
        </w:rPr>
        <w:t>The</w:t>
      </w:r>
      <w:r w:rsidR="00A36BC4">
        <w:rPr>
          <w:rFonts w:ascii="Palatino Linotype" w:hAnsi="Palatino Linotype" w:cs="Arial"/>
          <w:sz w:val="22"/>
          <w:szCs w:val="22"/>
          <w:lang w:val="en-GB"/>
        </w:rPr>
        <w:t xml:space="preserve">re is no reasonable excuse for the way that the respondents dealt with their obligation under section 10. </w:t>
      </w:r>
      <w:r w:rsidR="00DD5775">
        <w:rPr>
          <w:rFonts w:ascii="Palatino Linotype" w:hAnsi="Palatino Linotype" w:cs="Arial"/>
          <w:sz w:val="22"/>
          <w:szCs w:val="22"/>
          <w:lang w:val="en-GB"/>
        </w:rPr>
        <w:t xml:space="preserve">Their conduct when forced to produce terms was incoherent </w:t>
      </w:r>
      <w:r w:rsidR="009A5EC6">
        <w:rPr>
          <w:rFonts w:ascii="Palatino Linotype" w:hAnsi="Palatino Linotype" w:cs="Arial"/>
          <w:sz w:val="22"/>
          <w:szCs w:val="22"/>
          <w:lang w:val="en-GB"/>
        </w:rPr>
        <w:t xml:space="preserve">in legal terms </w:t>
      </w:r>
      <w:r w:rsidR="00DD5775">
        <w:rPr>
          <w:rFonts w:ascii="Palatino Linotype" w:hAnsi="Palatino Linotype" w:cs="Arial"/>
          <w:sz w:val="22"/>
          <w:szCs w:val="22"/>
          <w:lang w:val="en-GB"/>
        </w:rPr>
        <w:t xml:space="preserve">for the reasons given above. </w:t>
      </w:r>
    </w:p>
    <w:p w14:paraId="57EA7635" w14:textId="7AB9C1F7" w:rsidR="003D65E4" w:rsidRPr="003D65E4" w:rsidRDefault="00212D91" w:rsidP="008F7224">
      <w:pPr>
        <w:pStyle w:val="ListParagraph"/>
        <w:numPr>
          <w:ilvl w:val="0"/>
          <w:numId w:val="19"/>
        </w:numPr>
        <w:spacing w:line="480" w:lineRule="auto"/>
        <w:ind w:left="0" w:firstLine="0"/>
        <w:rPr>
          <w:rFonts w:ascii="Palatino Linotype" w:hAnsi="Palatino Linotype" w:cs="Arial"/>
          <w:sz w:val="22"/>
          <w:szCs w:val="22"/>
        </w:rPr>
      </w:pPr>
      <w:r>
        <w:rPr>
          <w:rFonts w:ascii="Palatino Linotype" w:hAnsi="Palatino Linotype" w:cs="Arial"/>
          <w:sz w:val="22"/>
          <w:szCs w:val="22"/>
        </w:rPr>
        <w:t xml:space="preserve">There is a discretion as to </w:t>
      </w:r>
      <w:r w:rsidRPr="0050354E">
        <w:rPr>
          <w:rFonts w:ascii="Palatino Linotype" w:hAnsi="Palatino Linotype" w:cs="Arial"/>
          <w:sz w:val="22"/>
          <w:szCs w:val="22"/>
        </w:rPr>
        <w:t xml:space="preserve">whether any award should be made. </w:t>
      </w:r>
      <w:r w:rsidR="009C3E24" w:rsidRPr="0050354E">
        <w:rPr>
          <w:rFonts w:ascii="Palatino Linotype" w:hAnsi="Palatino Linotype" w:cs="Arial"/>
          <w:sz w:val="22"/>
          <w:szCs w:val="22"/>
        </w:rPr>
        <w:t>T</w:t>
      </w:r>
      <w:r w:rsidR="00E75D40" w:rsidRPr="0050354E">
        <w:rPr>
          <w:rFonts w:ascii="Palatino Linotype" w:hAnsi="Palatino Linotype" w:cs="Arial"/>
          <w:sz w:val="22"/>
          <w:szCs w:val="22"/>
        </w:rPr>
        <w:t>his is a case where an award should be made. This is a signi</w:t>
      </w:r>
      <w:r w:rsidR="00E72C78" w:rsidRPr="0050354E">
        <w:rPr>
          <w:rFonts w:ascii="Palatino Linotype" w:hAnsi="Palatino Linotype" w:cs="Arial"/>
          <w:sz w:val="22"/>
          <w:szCs w:val="22"/>
        </w:rPr>
        <w:t>ficant breach of the respondent</w:t>
      </w:r>
      <w:r w:rsidR="00E75D40" w:rsidRPr="0050354E">
        <w:rPr>
          <w:rFonts w:ascii="Palatino Linotype" w:hAnsi="Palatino Linotype" w:cs="Arial"/>
          <w:sz w:val="22"/>
          <w:szCs w:val="22"/>
        </w:rPr>
        <w:t>s</w:t>
      </w:r>
      <w:r w:rsidR="00E72C78" w:rsidRPr="0050354E">
        <w:rPr>
          <w:rFonts w:ascii="Palatino Linotype" w:hAnsi="Palatino Linotype" w:cs="Arial"/>
          <w:sz w:val="22"/>
          <w:szCs w:val="22"/>
        </w:rPr>
        <w:t>’</w:t>
      </w:r>
      <w:r w:rsidR="00E75D40" w:rsidRPr="0050354E">
        <w:rPr>
          <w:rFonts w:ascii="Palatino Linotype" w:hAnsi="Palatino Linotype" w:cs="Arial"/>
          <w:sz w:val="22"/>
          <w:szCs w:val="22"/>
        </w:rPr>
        <w:t xml:space="preserve"> statutory obligation to supply written terms</w:t>
      </w:r>
      <w:r w:rsidR="009C3E24" w:rsidRPr="0050354E">
        <w:rPr>
          <w:rFonts w:ascii="Palatino Linotype" w:hAnsi="Palatino Linotype" w:cs="Arial"/>
          <w:sz w:val="22"/>
          <w:szCs w:val="22"/>
        </w:rPr>
        <w:t xml:space="preserve"> of the tenancy</w:t>
      </w:r>
      <w:r w:rsidR="00E75D40" w:rsidRPr="0050354E">
        <w:rPr>
          <w:rFonts w:ascii="Palatino Linotype" w:hAnsi="Palatino Linotype" w:cs="Arial"/>
          <w:sz w:val="22"/>
          <w:szCs w:val="22"/>
        </w:rPr>
        <w:t xml:space="preserve">. </w:t>
      </w:r>
      <w:r w:rsidR="009C3E24" w:rsidRPr="0050354E">
        <w:rPr>
          <w:rFonts w:ascii="Palatino Linotype" w:hAnsi="Palatino Linotype" w:cs="Arial"/>
          <w:sz w:val="22"/>
          <w:szCs w:val="22"/>
        </w:rPr>
        <w:t>The maximum statutory amount</w:t>
      </w:r>
      <w:r w:rsidR="00151297" w:rsidRPr="0050354E">
        <w:rPr>
          <w:rFonts w:ascii="Palatino Linotype" w:hAnsi="Palatino Linotype" w:cs="Arial"/>
          <w:sz w:val="22"/>
          <w:szCs w:val="22"/>
        </w:rPr>
        <w:t xml:space="preserve"> for a breach of section 10 only</w:t>
      </w:r>
      <w:r w:rsidR="009C3E24" w:rsidRPr="0050354E">
        <w:rPr>
          <w:rFonts w:ascii="Palatino Linotype" w:hAnsi="Palatino Linotype" w:cs="Arial"/>
          <w:sz w:val="22"/>
          <w:szCs w:val="22"/>
        </w:rPr>
        <w:t xml:space="preserve"> is three months’ rent. </w:t>
      </w:r>
      <w:r w:rsidR="00A12D35" w:rsidRPr="0050354E">
        <w:rPr>
          <w:rFonts w:ascii="Palatino Linotype" w:hAnsi="Palatino Linotype" w:cs="Arial"/>
          <w:sz w:val="22"/>
          <w:szCs w:val="22"/>
        </w:rPr>
        <w:t>As observed in the decision of 9 September 2019, it is unprincipled and exploitative for a landlord to force a tenant, for no other reason than that they share a living space, to pay the rent of non-paying third party co-tenants.</w:t>
      </w:r>
      <w:r w:rsidR="00587A1C">
        <w:rPr>
          <w:rFonts w:ascii="Palatino Linotype" w:hAnsi="Palatino Linotype" w:cs="Arial"/>
          <w:sz w:val="22"/>
          <w:szCs w:val="22"/>
        </w:rPr>
        <w:t xml:space="preserve"> </w:t>
      </w:r>
      <w:r w:rsidR="00587A1C" w:rsidRPr="0050354E">
        <w:rPr>
          <w:rFonts w:ascii="Palatino Linotype" w:hAnsi="Palatino Linotype" w:cs="Arial"/>
          <w:sz w:val="22"/>
          <w:szCs w:val="22"/>
          <w:lang w:val="en-GB"/>
        </w:rPr>
        <w:t>The</w:t>
      </w:r>
      <w:r w:rsidR="00587A1C">
        <w:rPr>
          <w:rFonts w:ascii="Palatino Linotype" w:hAnsi="Palatino Linotype" w:cs="Arial"/>
          <w:sz w:val="22"/>
          <w:szCs w:val="22"/>
          <w:lang w:val="en-GB"/>
        </w:rPr>
        <w:t xml:space="preserve"> respondents</w:t>
      </w:r>
      <w:r w:rsidR="00CB03E8">
        <w:rPr>
          <w:rFonts w:ascii="Palatino Linotype" w:hAnsi="Palatino Linotype" w:cs="Arial"/>
          <w:sz w:val="22"/>
          <w:szCs w:val="22"/>
          <w:lang w:val="en-GB"/>
        </w:rPr>
        <w:t xml:space="preserve"> accepted before the FtT that they main</w:t>
      </w:r>
      <w:r w:rsidR="00587A1C">
        <w:rPr>
          <w:rFonts w:ascii="Palatino Linotype" w:hAnsi="Palatino Linotype" w:cs="Arial"/>
          <w:sz w:val="22"/>
          <w:szCs w:val="22"/>
          <w:lang w:val="en-GB"/>
        </w:rPr>
        <w:t>t</w:t>
      </w:r>
      <w:r w:rsidR="00CB03E8">
        <w:rPr>
          <w:rFonts w:ascii="Palatino Linotype" w:hAnsi="Palatino Linotype" w:cs="Arial"/>
          <w:sz w:val="22"/>
          <w:szCs w:val="22"/>
          <w:lang w:val="en-GB"/>
        </w:rPr>
        <w:t>a</w:t>
      </w:r>
      <w:r w:rsidR="00587A1C">
        <w:rPr>
          <w:rFonts w:ascii="Palatino Linotype" w:hAnsi="Palatino Linotype" w:cs="Arial"/>
          <w:sz w:val="22"/>
          <w:szCs w:val="22"/>
          <w:lang w:val="en-GB"/>
        </w:rPr>
        <w:t>in</w:t>
      </w:r>
      <w:r w:rsidR="00CB03E8">
        <w:rPr>
          <w:rFonts w:ascii="Palatino Linotype" w:hAnsi="Palatino Linotype" w:cs="Arial"/>
          <w:sz w:val="22"/>
          <w:szCs w:val="22"/>
          <w:lang w:val="en-GB"/>
        </w:rPr>
        <w:t>e</w:t>
      </w:r>
      <w:r w:rsidR="00587A1C">
        <w:rPr>
          <w:rFonts w:ascii="Palatino Linotype" w:hAnsi="Palatino Linotype" w:cs="Arial"/>
          <w:sz w:val="22"/>
          <w:szCs w:val="22"/>
          <w:lang w:val="en-GB"/>
        </w:rPr>
        <w:t xml:space="preserve">d a </w:t>
      </w:r>
      <w:r w:rsidR="00CB03E8">
        <w:rPr>
          <w:rFonts w:ascii="Palatino Linotype" w:hAnsi="Palatino Linotype" w:cs="Arial"/>
          <w:sz w:val="22"/>
          <w:szCs w:val="22"/>
          <w:lang w:val="en-GB"/>
        </w:rPr>
        <w:t>lax regime. Their</w:t>
      </w:r>
      <w:r w:rsidR="00587A1C">
        <w:rPr>
          <w:rFonts w:ascii="Palatino Linotype" w:hAnsi="Palatino Linotype" w:cs="Arial"/>
          <w:sz w:val="22"/>
          <w:szCs w:val="22"/>
          <w:lang w:val="en-GB"/>
        </w:rPr>
        <w:t xml:space="preserve"> </w:t>
      </w:r>
      <w:r w:rsidR="00CB03E8">
        <w:rPr>
          <w:rFonts w:ascii="Palatino Linotype" w:hAnsi="Palatino Linotype" w:cs="Arial"/>
          <w:sz w:val="22"/>
          <w:szCs w:val="22"/>
          <w:lang w:val="en-GB"/>
        </w:rPr>
        <w:t xml:space="preserve">laxity has led to the </w:t>
      </w:r>
      <w:r w:rsidR="00587A1C" w:rsidRPr="0050354E">
        <w:rPr>
          <w:rFonts w:ascii="Palatino Linotype" w:hAnsi="Palatino Linotype" w:cs="Arial"/>
          <w:sz w:val="22"/>
          <w:szCs w:val="22"/>
          <w:lang w:val="en-GB"/>
        </w:rPr>
        <w:t>problems</w:t>
      </w:r>
      <w:r w:rsidR="00CB03E8">
        <w:rPr>
          <w:rFonts w:ascii="Palatino Linotype" w:hAnsi="Palatino Linotype" w:cs="Arial"/>
          <w:sz w:val="22"/>
          <w:szCs w:val="22"/>
          <w:lang w:val="en-GB"/>
        </w:rPr>
        <w:t xml:space="preserve"> deal with in this case</w:t>
      </w:r>
      <w:r w:rsidR="00587A1C" w:rsidRPr="0050354E">
        <w:rPr>
          <w:rFonts w:ascii="Palatino Linotype" w:hAnsi="Palatino Linotype" w:cs="Arial"/>
          <w:sz w:val="22"/>
          <w:szCs w:val="22"/>
          <w:lang w:val="en-GB"/>
        </w:rPr>
        <w:t>.</w:t>
      </w:r>
      <w:r>
        <w:rPr>
          <w:rFonts w:ascii="Palatino Linotype" w:hAnsi="Palatino Linotype" w:cs="Arial"/>
          <w:sz w:val="22"/>
          <w:szCs w:val="22"/>
          <w:lang w:val="en-GB"/>
        </w:rPr>
        <w:t xml:space="preserve"> </w:t>
      </w:r>
      <w:r w:rsidRPr="0050354E">
        <w:rPr>
          <w:rFonts w:ascii="Palatino Linotype" w:hAnsi="Palatino Linotype" w:cs="Arial"/>
          <w:sz w:val="22"/>
          <w:szCs w:val="22"/>
        </w:rPr>
        <w:t>I consider that an appropriate level of award in the circumstances described above is two months’ rent, i.e. the sum of seven hundred pounds and I have made an award in that sum.</w:t>
      </w:r>
    </w:p>
    <w:p w14:paraId="2456C244" w14:textId="77777777" w:rsidR="00E25699" w:rsidRPr="008C5713" w:rsidRDefault="00E25699" w:rsidP="008F7224">
      <w:pPr>
        <w:pStyle w:val="ListParagraph"/>
        <w:spacing w:line="480" w:lineRule="auto"/>
        <w:ind w:left="0"/>
        <w:rPr>
          <w:rFonts w:ascii="Palatino Linotype" w:hAnsi="Palatino Linotype" w:cs="Arial"/>
          <w:sz w:val="22"/>
          <w:szCs w:val="22"/>
          <w:u w:val="single"/>
        </w:rPr>
      </w:pPr>
    </w:p>
    <w:p w14:paraId="2F676D64" w14:textId="77777777" w:rsidR="00E25699" w:rsidRPr="008C5713" w:rsidRDefault="00E25699" w:rsidP="008C5713">
      <w:pPr>
        <w:pStyle w:val="ListParagraph"/>
        <w:keepNext/>
        <w:spacing w:line="480" w:lineRule="auto"/>
        <w:ind w:left="0"/>
        <w:rPr>
          <w:rFonts w:ascii="Palatino Linotype" w:hAnsi="Palatino Linotype" w:cs="Arial"/>
          <w:sz w:val="22"/>
          <w:szCs w:val="22"/>
        </w:rPr>
      </w:pPr>
      <w:r w:rsidRPr="008C5713">
        <w:rPr>
          <w:rFonts w:ascii="Palatino Linotype" w:hAnsi="Palatino Linotype" w:cs="Arial"/>
          <w:i/>
          <w:sz w:val="22"/>
          <w:szCs w:val="22"/>
        </w:rPr>
        <w:t xml:space="preserve">Notice to the parties  </w:t>
      </w:r>
    </w:p>
    <w:p w14:paraId="6A339BA8" w14:textId="374DB95A" w:rsidR="00E25699" w:rsidRPr="009F1E4A" w:rsidRDefault="00E25699" w:rsidP="008F7224">
      <w:pPr>
        <w:pStyle w:val="ListParagraph"/>
        <w:numPr>
          <w:ilvl w:val="0"/>
          <w:numId w:val="19"/>
        </w:numPr>
        <w:spacing w:line="480" w:lineRule="auto"/>
        <w:ind w:left="0" w:firstLine="0"/>
        <w:rPr>
          <w:rFonts w:ascii="Palatino Linotype" w:hAnsi="Palatino Linotype" w:cs="Arial"/>
          <w:sz w:val="22"/>
          <w:szCs w:val="22"/>
          <w:u w:val="single"/>
        </w:rPr>
      </w:pPr>
      <w:r w:rsidRPr="00212D91">
        <w:rPr>
          <w:rFonts w:ascii="Palatino Linotype" w:hAnsi="Palatino Linotype" w:cs="Arial"/>
          <w:sz w:val="22"/>
          <w:szCs w:val="22"/>
        </w:rPr>
        <w:t xml:space="preserve">A party to this case who is aggrieved by this decision may seek permission to appeal to the Court of Session on a point of law only. A party who wishes to appeal must seek permission to do so from the Upper Tribunal within 30 days of the date on which this decision was sent to him or her. Any such request for permission must be in writing and must (a) identify the decision of the Upper Tribunal to which it relates, (b) identify the alleged error or errors of law in the decision and (c) state in terms of section 50(4) of the </w:t>
      </w:r>
      <w:r w:rsidR="00212D91" w:rsidRPr="00212D91">
        <w:rPr>
          <w:rFonts w:ascii="Palatino Linotype" w:hAnsi="Palatino Linotype" w:cs="Arial"/>
          <w:sz w:val="22"/>
          <w:szCs w:val="22"/>
        </w:rPr>
        <w:t>of the Tribunals (Scotland) Act 2014</w:t>
      </w:r>
      <w:r w:rsidRPr="00212D91">
        <w:rPr>
          <w:rFonts w:ascii="Palatino Linotype" w:hAnsi="Palatino Linotype" w:cs="Arial"/>
          <w:sz w:val="22"/>
          <w:szCs w:val="22"/>
        </w:rPr>
        <w:t xml:space="preserve"> what important point of principle or practice would be raised or what other compelling reason there is for allowing a further appeal to proceed.</w:t>
      </w:r>
    </w:p>
    <w:p w14:paraId="58E77C3B" w14:textId="77777777" w:rsidR="00441758" w:rsidRPr="0050354E" w:rsidRDefault="00441758" w:rsidP="008F7224">
      <w:pPr>
        <w:spacing w:line="480" w:lineRule="auto"/>
        <w:jc w:val="right"/>
        <w:rPr>
          <w:rFonts w:ascii="Palatino Linotype" w:hAnsi="Palatino Linotype" w:cs="Arial"/>
          <w:sz w:val="22"/>
          <w:szCs w:val="22"/>
        </w:rPr>
      </w:pPr>
    </w:p>
    <w:p w14:paraId="4395DB78" w14:textId="77777777" w:rsidR="00441758" w:rsidRPr="0050354E" w:rsidRDefault="00441758" w:rsidP="008F7224">
      <w:pPr>
        <w:spacing w:line="480" w:lineRule="auto"/>
        <w:jc w:val="right"/>
        <w:rPr>
          <w:rFonts w:ascii="Palatino Linotype" w:hAnsi="Palatino Linotype" w:cs="Arial"/>
          <w:sz w:val="22"/>
          <w:szCs w:val="22"/>
        </w:rPr>
      </w:pPr>
      <w:r w:rsidRPr="0050354E">
        <w:rPr>
          <w:rFonts w:ascii="Palatino Linotype" w:hAnsi="Palatino Linotype" w:cs="Arial"/>
          <w:sz w:val="22"/>
          <w:szCs w:val="22"/>
        </w:rPr>
        <w:t xml:space="preserve">Sheriff Pino Di Emidio </w:t>
      </w:r>
    </w:p>
    <w:p w14:paraId="671163FB" w14:textId="77777777" w:rsidR="007C4B9B" w:rsidRDefault="00441758" w:rsidP="008F7224">
      <w:pPr>
        <w:spacing w:line="480" w:lineRule="auto"/>
        <w:jc w:val="right"/>
        <w:rPr>
          <w:rFonts w:ascii="Palatino Linotype" w:hAnsi="Palatino Linotype" w:cs="Arial"/>
          <w:sz w:val="22"/>
          <w:szCs w:val="22"/>
        </w:rPr>
      </w:pPr>
      <w:r w:rsidRPr="0050354E">
        <w:rPr>
          <w:rFonts w:ascii="Palatino Linotype" w:hAnsi="Palatino Linotype" w:cs="Arial"/>
          <w:sz w:val="22"/>
          <w:szCs w:val="22"/>
        </w:rPr>
        <w:t>Member of the Upper Tribun</w:t>
      </w:r>
      <w:r>
        <w:rPr>
          <w:rFonts w:ascii="Palatino Linotype" w:hAnsi="Palatino Linotype" w:cs="Arial"/>
          <w:sz w:val="22"/>
          <w:szCs w:val="22"/>
        </w:rPr>
        <w:t>al for Scotland</w:t>
      </w:r>
    </w:p>
    <w:sectPr w:rsidR="007C4B9B" w:rsidSect="003D4D40">
      <w:headerReference w:type="default" r:id="rId8"/>
      <w:footerReference w:type="default" r:id="rId9"/>
      <w:pgSz w:w="11907" w:h="16840" w:code="9"/>
      <w:pgMar w:top="2835" w:right="992"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E254" w14:textId="77777777" w:rsidR="00EE070D" w:rsidRDefault="00EE070D" w:rsidP="0066153D">
      <w:r>
        <w:separator/>
      </w:r>
    </w:p>
  </w:endnote>
  <w:endnote w:type="continuationSeparator" w:id="0">
    <w:p w14:paraId="687D9DF8" w14:textId="77777777" w:rsidR="00EE070D" w:rsidRDefault="00EE070D"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ndo">
    <w:altName w:val="Tond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85401"/>
      <w:docPartObj>
        <w:docPartGallery w:val="Page Numbers (Bottom of Page)"/>
        <w:docPartUnique/>
      </w:docPartObj>
    </w:sdtPr>
    <w:sdtEndPr>
      <w:rPr>
        <w:noProof/>
      </w:rPr>
    </w:sdtEndPr>
    <w:sdtContent>
      <w:p w14:paraId="7B283C7D" w14:textId="065BE3A6" w:rsidR="009774DA" w:rsidRDefault="009774DA">
        <w:pPr>
          <w:pStyle w:val="Footer"/>
          <w:jc w:val="center"/>
        </w:pPr>
        <w:r>
          <w:fldChar w:fldCharType="begin"/>
        </w:r>
        <w:r>
          <w:instrText xml:space="preserve"> PAGE   \* MERGEFORMAT </w:instrText>
        </w:r>
        <w:r>
          <w:fldChar w:fldCharType="separate"/>
        </w:r>
        <w:r w:rsidR="00EC34EA">
          <w:rPr>
            <w:noProof/>
          </w:rPr>
          <w:t>1</w:t>
        </w:r>
        <w:r>
          <w:rPr>
            <w:noProof/>
          </w:rPr>
          <w:fldChar w:fldCharType="end"/>
        </w:r>
      </w:p>
    </w:sdtContent>
  </w:sdt>
  <w:p w14:paraId="51A5727B" w14:textId="77777777" w:rsidR="009774DA" w:rsidRDefault="0097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88C6" w14:textId="77777777" w:rsidR="00EE070D" w:rsidRDefault="00EE070D" w:rsidP="0066153D">
      <w:r>
        <w:separator/>
      </w:r>
    </w:p>
  </w:footnote>
  <w:footnote w:type="continuationSeparator" w:id="0">
    <w:p w14:paraId="57AE088D" w14:textId="77777777" w:rsidR="00EE070D" w:rsidRDefault="00EE070D"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7C05" w14:textId="77777777" w:rsidR="0073763A" w:rsidRPr="006A39CC" w:rsidRDefault="00944351" w:rsidP="006A39CC">
    <w:pPr>
      <w:pStyle w:val="Header"/>
      <w:jc w:val="right"/>
    </w:pPr>
    <w:r>
      <w:rPr>
        <w:noProof/>
        <w:lang w:val="en-GB" w:eastAsia="en-GB"/>
      </w:rPr>
      <w:drawing>
        <wp:inline distT="0" distB="0" distL="0" distR="0" wp14:anchorId="2EF89A61" wp14:editId="12474319">
          <wp:extent cx="42291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505"/>
    <w:multiLevelType w:val="multilevel"/>
    <w:tmpl w:val="40AC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67E51"/>
    <w:multiLevelType w:val="multilevel"/>
    <w:tmpl w:val="9B8C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64A91"/>
    <w:multiLevelType w:val="hybridMultilevel"/>
    <w:tmpl w:val="A2CAB18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D34A6"/>
    <w:multiLevelType w:val="multilevel"/>
    <w:tmpl w:val="E002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7D75"/>
    <w:multiLevelType w:val="multilevel"/>
    <w:tmpl w:val="9332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75C70"/>
    <w:multiLevelType w:val="multilevel"/>
    <w:tmpl w:val="E3F2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57856"/>
    <w:multiLevelType w:val="hybridMultilevel"/>
    <w:tmpl w:val="30023D42"/>
    <w:lvl w:ilvl="0" w:tplc="771CD3FA">
      <w:start w:val="1"/>
      <w:numFmt w:val="decimal"/>
      <w:lvlText w:val="%1."/>
      <w:lvlJc w:val="left"/>
      <w:pPr>
        <w:ind w:left="720" w:hanging="360"/>
      </w:pPr>
      <w:rPr>
        <w:i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00F27"/>
    <w:multiLevelType w:val="multilevel"/>
    <w:tmpl w:val="1A48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D24B0"/>
    <w:multiLevelType w:val="hybridMultilevel"/>
    <w:tmpl w:val="594E7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D171C"/>
    <w:multiLevelType w:val="hybridMultilevel"/>
    <w:tmpl w:val="D7346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71F01"/>
    <w:multiLevelType w:val="hybridMultilevel"/>
    <w:tmpl w:val="E94EDA0A"/>
    <w:lvl w:ilvl="0" w:tplc="3E7ED16A">
      <w:start w:val="1"/>
      <w:numFmt w:val="decimal"/>
      <w:lvlText w:val="[%1]"/>
      <w:lvlJc w:val="left"/>
      <w:pPr>
        <w:ind w:left="360" w:hanging="360"/>
      </w:pPr>
      <w:rPr>
        <w:rFonts w:hint="default"/>
        <w:i w:val="0"/>
      </w:rPr>
    </w:lvl>
    <w:lvl w:ilvl="1" w:tplc="08090019">
      <w:start w:val="1"/>
      <w:numFmt w:val="lowerLetter"/>
      <w:lvlText w:val="%2."/>
      <w:lvlJc w:val="left"/>
      <w:pPr>
        <w:ind w:left="7527" w:hanging="360"/>
      </w:pPr>
      <w:rPr>
        <w:i w:val="0"/>
      </w:rPr>
    </w:lvl>
    <w:lvl w:ilvl="2" w:tplc="0809001B">
      <w:start w:val="1"/>
      <w:numFmt w:val="lowerRoman"/>
      <w:lvlText w:val="%3."/>
      <w:lvlJc w:val="right"/>
      <w:pPr>
        <w:ind w:left="8247" w:hanging="180"/>
      </w:pPr>
    </w:lvl>
    <w:lvl w:ilvl="3" w:tplc="0809000F" w:tentative="1">
      <w:start w:val="1"/>
      <w:numFmt w:val="decimal"/>
      <w:lvlText w:val="%4."/>
      <w:lvlJc w:val="left"/>
      <w:pPr>
        <w:ind w:left="8967" w:hanging="360"/>
      </w:pPr>
    </w:lvl>
    <w:lvl w:ilvl="4" w:tplc="08090019" w:tentative="1">
      <w:start w:val="1"/>
      <w:numFmt w:val="lowerLetter"/>
      <w:lvlText w:val="%5."/>
      <w:lvlJc w:val="left"/>
      <w:pPr>
        <w:ind w:left="9687" w:hanging="360"/>
      </w:pPr>
    </w:lvl>
    <w:lvl w:ilvl="5" w:tplc="0809001B" w:tentative="1">
      <w:start w:val="1"/>
      <w:numFmt w:val="lowerRoman"/>
      <w:lvlText w:val="%6."/>
      <w:lvlJc w:val="right"/>
      <w:pPr>
        <w:ind w:left="10407" w:hanging="180"/>
      </w:pPr>
    </w:lvl>
    <w:lvl w:ilvl="6" w:tplc="0809000F" w:tentative="1">
      <w:start w:val="1"/>
      <w:numFmt w:val="decimal"/>
      <w:lvlText w:val="%7."/>
      <w:lvlJc w:val="left"/>
      <w:pPr>
        <w:ind w:left="11127" w:hanging="360"/>
      </w:pPr>
    </w:lvl>
    <w:lvl w:ilvl="7" w:tplc="08090019" w:tentative="1">
      <w:start w:val="1"/>
      <w:numFmt w:val="lowerLetter"/>
      <w:lvlText w:val="%8."/>
      <w:lvlJc w:val="left"/>
      <w:pPr>
        <w:ind w:left="11847" w:hanging="360"/>
      </w:pPr>
    </w:lvl>
    <w:lvl w:ilvl="8" w:tplc="0809001B" w:tentative="1">
      <w:start w:val="1"/>
      <w:numFmt w:val="lowerRoman"/>
      <w:lvlText w:val="%9."/>
      <w:lvlJc w:val="right"/>
      <w:pPr>
        <w:ind w:left="12567" w:hanging="180"/>
      </w:pPr>
    </w:lvl>
  </w:abstractNum>
  <w:abstractNum w:abstractNumId="11" w15:restartNumberingAfterBreak="0">
    <w:nsid w:val="392C797A"/>
    <w:multiLevelType w:val="hybridMultilevel"/>
    <w:tmpl w:val="C2FE1F30"/>
    <w:lvl w:ilvl="0" w:tplc="58C27B1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EB7733"/>
    <w:multiLevelType w:val="multilevel"/>
    <w:tmpl w:val="51BE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07474"/>
    <w:multiLevelType w:val="multilevel"/>
    <w:tmpl w:val="CC126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B624D4"/>
    <w:multiLevelType w:val="hybridMultilevel"/>
    <w:tmpl w:val="BECAF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D539FD"/>
    <w:multiLevelType w:val="multilevel"/>
    <w:tmpl w:val="B14A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33036"/>
    <w:multiLevelType w:val="multilevel"/>
    <w:tmpl w:val="67F8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1753CC"/>
    <w:multiLevelType w:val="multilevel"/>
    <w:tmpl w:val="21A4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F23E46"/>
    <w:multiLevelType w:val="hybridMultilevel"/>
    <w:tmpl w:val="A9769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24136"/>
    <w:multiLevelType w:val="multilevel"/>
    <w:tmpl w:val="014E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625A28"/>
    <w:multiLevelType w:val="multilevel"/>
    <w:tmpl w:val="D380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F81E2E"/>
    <w:multiLevelType w:val="hybridMultilevel"/>
    <w:tmpl w:val="BE7C2B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lvlOverride w:ilvl="0">
      <w:startOverride w:val="1"/>
    </w:lvlOverride>
  </w:num>
  <w:num w:numId="3">
    <w:abstractNumId w:val="1"/>
    <w:lvlOverride w:ilvl="0">
      <w:startOverride w:val="2"/>
    </w:lvlOverride>
  </w:num>
  <w:num w:numId="4">
    <w:abstractNumId w:val="13"/>
    <w:lvlOverride w:ilvl="0">
      <w:startOverride w:val="3"/>
    </w:lvlOverride>
  </w:num>
  <w:num w:numId="5">
    <w:abstractNumId w:val="5"/>
    <w:lvlOverride w:ilvl="0">
      <w:startOverride w:val="5"/>
    </w:lvlOverride>
  </w:num>
  <w:num w:numId="6">
    <w:abstractNumId w:val="16"/>
    <w:lvlOverride w:ilvl="0">
      <w:startOverride w:val="6"/>
    </w:lvlOverride>
  </w:num>
  <w:num w:numId="7">
    <w:abstractNumId w:val="20"/>
    <w:lvlOverride w:ilvl="0">
      <w:startOverride w:val="7"/>
    </w:lvlOverride>
  </w:num>
  <w:num w:numId="8">
    <w:abstractNumId w:val="0"/>
    <w:lvlOverride w:ilvl="0">
      <w:startOverride w:val="16"/>
    </w:lvlOverride>
  </w:num>
  <w:num w:numId="9">
    <w:abstractNumId w:val="15"/>
    <w:lvlOverride w:ilvl="0">
      <w:startOverride w:val="18"/>
    </w:lvlOverride>
  </w:num>
  <w:num w:numId="10">
    <w:abstractNumId w:val="4"/>
    <w:lvlOverride w:ilvl="0">
      <w:startOverride w:val="19"/>
    </w:lvlOverride>
  </w:num>
  <w:num w:numId="11">
    <w:abstractNumId w:val="7"/>
    <w:lvlOverride w:ilvl="0">
      <w:startOverride w:val="20"/>
    </w:lvlOverride>
  </w:num>
  <w:num w:numId="12">
    <w:abstractNumId w:val="3"/>
    <w:lvlOverride w:ilvl="0">
      <w:startOverride w:val="21"/>
    </w:lvlOverride>
  </w:num>
  <w:num w:numId="13">
    <w:abstractNumId w:val="12"/>
    <w:lvlOverride w:ilvl="0">
      <w:startOverride w:val="22"/>
    </w:lvlOverride>
  </w:num>
  <w:num w:numId="14">
    <w:abstractNumId w:val="19"/>
    <w:lvlOverride w:ilvl="0">
      <w:startOverride w:val="24"/>
    </w:lvlOverride>
  </w:num>
  <w:num w:numId="15">
    <w:abstractNumId w:val="8"/>
  </w:num>
  <w:num w:numId="16">
    <w:abstractNumId w:val="11"/>
  </w:num>
  <w:num w:numId="17">
    <w:abstractNumId w:val="9"/>
  </w:num>
  <w:num w:numId="18">
    <w:abstractNumId w:val="14"/>
  </w:num>
  <w:num w:numId="19">
    <w:abstractNumId w:val="10"/>
  </w:num>
  <w:num w:numId="20">
    <w:abstractNumId w:val="21"/>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30EB"/>
    <w:rsid w:val="0000468B"/>
    <w:rsid w:val="00005CE5"/>
    <w:rsid w:val="00011660"/>
    <w:rsid w:val="00031F99"/>
    <w:rsid w:val="00032EF9"/>
    <w:rsid w:val="000434ED"/>
    <w:rsid w:val="00057E3B"/>
    <w:rsid w:val="00066BDF"/>
    <w:rsid w:val="00084CB0"/>
    <w:rsid w:val="0008709F"/>
    <w:rsid w:val="00090A39"/>
    <w:rsid w:val="00091AAF"/>
    <w:rsid w:val="00094247"/>
    <w:rsid w:val="000A2D48"/>
    <w:rsid w:val="000A3759"/>
    <w:rsid w:val="000A6222"/>
    <w:rsid w:val="000A79AB"/>
    <w:rsid w:val="000B4FC4"/>
    <w:rsid w:val="000B7258"/>
    <w:rsid w:val="000D6895"/>
    <w:rsid w:val="000E12C9"/>
    <w:rsid w:val="000E19CC"/>
    <w:rsid w:val="000E302E"/>
    <w:rsid w:val="00100074"/>
    <w:rsid w:val="001067BC"/>
    <w:rsid w:val="00115D7F"/>
    <w:rsid w:val="001309D5"/>
    <w:rsid w:val="00135867"/>
    <w:rsid w:val="00135FA1"/>
    <w:rsid w:val="00140279"/>
    <w:rsid w:val="001424AE"/>
    <w:rsid w:val="00144C2D"/>
    <w:rsid w:val="00151297"/>
    <w:rsid w:val="001602DD"/>
    <w:rsid w:val="00161FA8"/>
    <w:rsid w:val="00163522"/>
    <w:rsid w:val="001670B7"/>
    <w:rsid w:val="0017303C"/>
    <w:rsid w:val="0017349F"/>
    <w:rsid w:val="001A70AB"/>
    <w:rsid w:val="001B03A2"/>
    <w:rsid w:val="001B21DF"/>
    <w:rsid w:val="001B7288"/>
    <w:rsid w:val="001D1432"/>
    <w:rsid w:val="001D31E7"/>
    <w:rsid w:val="001D3EF9"/>
    <w:rsid w:val="001E1A78"/>
    <w:rsid w:val="001F0B7E"/>
    <w:rsid w:val="001F3858"/>
    <w:rsid w:val="0020133C"/>
    <w:rsid w:val="00204C08"/>
    <w:rsid w:val="0020799D"/>
    <w:rsid w:val="00212D91"/>
    <w:rsid w:val="002143D2"/>
    <w:rsid w:val="002159A2"/>
    <w:rsid w:val="00223139"/>
    <w:rsid w:val="0022350D"/>
    <w:rsid w:val="00224235"/>
    <w:rsid w:val="00234DDE"/>
    <w:rsid w:val="00247C3A"/>
    <w:rsid w:val="00253E11"/>
    <w:rsid w:val="00260867"/>
    <w:rsid w:val="00273B4E"/>
    <w:rsid w:val="002844CD"/>
    <w:rsid w:val="00292332"/>
    <w:rsid w:val="00295A6F"/>
    <w:rsid w:val="00296B2F"/>
    <w:rsid w:val="002A13DB"/>
    <w:rsid w:val="002B1A16"/>
    <w:rsid w:val="002B3D78"/>
    <w:rsid w:val="002C64D8"/>
    <w:rsid w:val="002E15E2"/>
    <w:rsid w:val="003149EB"/>
    <w:rsid w:val="00315BB4"/>
    <w:rsid w:val="00316CEB"/>
    <w:rsid w:val="003178B1"/>
    <w:rsid w:val="00344B02"/>
    <w:rsid w:val="00371CD9"/>
    <w:rsid w:val="003B1534"/>
    <w:rsid w:val="003B3CA2"/>
    <w:rsid w:val="003D4D40"/>
    <w:rsid w:val="003D65E4"/>
    <w:rsid w:val="003E57AB"/>
    <w:rsid w:val="003F1D41"/>
    <w:rsid w:val="003F7916"/>
    <w:rsid w:val="00402F5E"/>
    <w:rsid w:val="00405139"/>
    <w:rsid w:val="00406E10"/>
    <w:rsid w:val="00420FAD"/>
    <w:rsid w:val="00427D55"/>
    <w:rsid w:val="004307C9"/>
    <w:rsid w:val="00435E0F"/>
    <w:rsid w:val="00441758"/>
    <w:rsid w:val="004450B1"/>
    <w:rsid w:val="00447D02"/>
    <w:rsid w:val="0045117F"/>
    <w:rsid w:val="00451FC2"/>
    <w:rsid w:val="004549A2"/>
    <w:rsid w:val="00472E23"/>
    <w:rsid w:val="00484FD5"/>
    <w:rsid w:val="0048798B"/>
    <w:rsid w:val="0049596F"/>
    <w:rsid w:val="004A028A"/>
    <w:rsid w:val="004A19A8"/>
    <w:rsid w:val="004A275B"/>
    <w:rsid w:val="004A4254"/>
    <w:rsid w:val="004B0389"/>
    <w:rsid w:val="004B39BC"/>
    <w:rsid w:val="004B5FFD"/>
    <w:rsid w:val="004C2C59"/>
    <w:rsid w:val="004D55DA"/>
    <w:rsid w:val="004E194A"/>
    <w:rsid w:val="004E4D52"/>
    <w:rsid w:val="004E578B"/>
    <w:rsid w:val="004F759D"/>
    <w:rsid w:val="0050354E"/>
    <w:rsid w:val="005137E9"/>
    <w:rsid w:val="005332EE"/>
    <w:rsid w:val="005340FB"/>
    <w:rsid w:val="00537775"/>
    <w:rsid w:val="00543FF7"/>
    <w:rsid w:val="00556445"/>
    <w:rsid w:val="00567973"/>
    <w:rsid w:val="005720B7"/>
    <w:rsid w:val="005738BF"/>
    <w:rsid w:val="00587A1C"/>
    <w:rsid w:val="005A3F28"/>
    <w:rsid w:val="005A7375"/>
    <w:rsid w:val="005B243B"/>
    <w:rsid w:val="005B3649"/>
    <w:rsid w:val="005B3DD8"/>
    <w:rsid w:val="005C028A"/>
    <w:rsid w:val="005D3126"/>
    <w:rsid w:val="005E19BA"/>
    <w:rsid w:val="005E40B5"/>
    <w:rsid w:val="00614854"/>
    <w:rsid w:val="00622522"/>
    <w:rsid w:val="00624967"/>
    <w:rsid w:val="0063573F"/>
    <w:rsid w:val="0064566A"/>
    <w:rsid w:val="00657CD6"/>
    <w:rsid w:val="00660B6D"/>
    <w:rsid w:val="0066153D"/>
    <w:rsid w:val="006640A6"/>
    <w:rsid w:val="00664775"/>
    <w:rsid w:val="006708D0"/>
    <w:rsid w:val="00670BA1"/>
    <w:rsid w:val="00683B27"/>
    <w:rsid w:val="00685FEF"/>
    <w:rsid w:val="00687CA4"/>
    <w:rsid w:val="00694615"/>
    <w:rsid w:val="006A39CC"/>
    <w:rsid w:val="006B0448"/>
    <w:rsid w:val="006B20DF"/>
    <w:rsid w:val="006B6295"/>
    <w:rsid w:val="006C5820"/>
    <w:rsid w:val="006E1366"/>
    <w:rsid w:val="006E75FA"/>
    <w:rsid w:val="006F3FEC"/>
    <w:rsid w:val="006F5B83"/>
    <w:rsid w:val="00703773"/>
    <w:rsid w:val="00707CDC"/>
    <w:rsid w:val="00710389"/>
    <w:rsid w:val="00716A78"/>
    <w:rsid w:val="00723E2D"/>
    <w:rsid w:val="007308BD"/>
    <w:rsid w:val="0073144D"/>
    <w:rsid w:val="00731C7A"/>
    <w:rsid w:val="0073763A"/>
    <w:rsid w:val="00746CAA"/>
    <w:rsid w:val="0077103C"/>
    <w:rsid w:val="00773578"/>
    <w:rsid w:val="00773F90"/>
    <w:rsid w:val="00781A46"/>
    <w:rsid w:val="00784DE0"/>
    <w:rsid w:val="00785D4B"/>
    <w:rsid w:val="00794F5B"/>
    <w:rsid w:val="007B0F80"/>
    <w:rsid w:val="007B645A"/>
    <w:rsid w:val="007C4B9B"/>
    <w:rsid w:val="007D0867"/>
    <w:rsid w:val="007D4925"/>
    <w:rsid w:val="007E35CF"/>
    <w:rsid w:val="007E6A4E"/>
    <w:rsid w:val="007F03F4"/>
    <w:rsid w:val="007F5555"/>
    <w:rsid w:val="00801F58"/>
    <w:rsid w:val="00814CC9"/>
    <w:rsid w:val="00827DDB"/>
    <w:rsid w:val="00832A79"/>
    <w:rsid w:val="00851696"/>
    <w:rsid w:val="00854779"/>
    <w:rsid w:val="00854A59"/>
    <w:rsid w:val="00855DA3"/>
    <w:rsid w:val="0086166A"/>
    <w:rsid w:val="00867E66"/>
    <w:rsid w:val="00873FBB"/>
    <w:rsid w:val="00891383"/>
    <w:rsid w:val="008942D3"/>
    <w:rsid w:val="008A11BF"/>
    <w:rsid w:val="008A1BB3"/>
    <w:rsid w:val="008A4218"/>
    <w:rsid w:val="008A7CBB"/>
    <w:rsid w:val="008B1FB3"/>
    <w:rsid w:val="008B391A"/>
    <w:rsid w:val="008C0070"/>
    <w:rsid w:val="008C17F8"/>
    <w:rsid w:val="008C3725"/>
    <w:rsid w:val="008C5713"/>
    <w:rsid w:val="008D26BE"/>
    <w:rsid w:val="008F4B1D"/>
    <w:rsid w:val="008F7224"/>
    <w:rsid w:val="0090065F"/>
    <w:rsid w:val="009044F4"/>
    <w:rsid w:val="00912C37"/>
    <w:rsid w:val="009303C4"/>
    <w:rsid w:val="00930704"/>
    <w:rsid w:val="009435EF"/>
    <w:rsid w:val="00944351"/>
    <w:rsid w:val="0094510A"/>
    <w:rsid w:val="00965E60"/>
    <w:rsid w:val="009670D1"/>
    <w:rsid w:val="009774DA"/>
    <w:rsid w:val="00981382"/>
    <w:rsid w:val="00983429"/>
    <w:rsid w:val="00993F62"/>
    <w:rsid w:val="009A366D"/>
    <w:rsid w:val="009A5EC6"/>
    <w:rsid w:val="009C1C6A"/>
    <w:rsid w:val="009C3E24"/>
    <w:rsid w:val="009C761F"/>
    <w:rsid w:val="009D3433"/>
    <w:rsid w:val="009E4417"/>
    <w:rsid w:val="009F1E4A"/>
    <w:rsid w:val="00A00C69"/>
    <w:rsid w:val="00A04338"/>
    <w:rsid w:val="00A12D35"/>
    <w:rsid w:val="00A14EB7"/>
    <w:rsid w:val="00A15EFB"/>
    <w:rsid w:val="00A176F1"/>
    <w:rsid w:val="00A207B9"/>
    <w:rsid w:val="00A31D64"/>
    <w:rsid w:val="00A35D0D"/>
    <w:rsid w:val="00A36BC4"/>
    <w:rsid w:val="00A4064D"/>
    <w:rsid w:val="00A42411"/>
    <w:rsid w:val="00A4699B"/>
    <w:rsid w:val="00A57770"/>
    <w:rsid w:val="00A720D7"/>
    <w:rsid w:val="00A753D2"/>
    <w:rsid w:val="00A80BB5"/>
    <w:rsid w:val="00A81F8C"/>
    <w:rsid w:val="00A8272E"/>
    <w:rsid w:val="00A846FB"/>
    <w:rsid w:val="00A865EA"/>
    <w:rsid w:val="00AA5276"/>
    <w:rsid w:val="00AC2283"/>
    <w:rsid w:val="00AC4632"/>
    <w:rsid w:val="00AC684F"/>
    <w:rsid w:val="00AC7072"/>
    <w:rsid w:val="00AE5E07"/>
    <w:rsid w:val="00AF248D"/>
    <w:rsid w:val="00AF36BA"/>
    <w:rsid w:val="00B0712C"/>
    <w:rsid w:val="00B2568E"/>
    <w:rsid w:val="00B37C56"/>
    <w:rsid w:val="00B4178B"/>
    <w:rsid w:val="00B54BBC"/>
    <w:rsid w:val="00B56DBD"/>
    <w:rsid w:val="00B82BF9"/>
    <w:rsid w:val="00B8760F"/>
    <w:rsid w:val="00BA025D"/>
    <w:rsid w:val="00BA1616"/>
    <w:rsid w:val="00BB2125"/>
    <w:rsid w:val="00BB5533"/>
    <w:rsid w:val="00BB6ED6"/>
    <w:rsid w:val="00BC2626"/>
    <w:rsid w:val="00BC3C7B"/>
    <w:rsid w:val="00BC6244"/>
    <w:rsid w:val="00BD7462"/>
    <w:rsid w:val="00BE7A3B"/>
    <w:rsid w:val="00BF22B1"/>
    <w:rsid w:val="00C00C66"/>
    <w:rsid w:val="00C01324"/>
    <w:rsid w:val="00C04F48"/>
    <w:rsid w:val="00C0626D"/>
    <w:rsid w:val="00C07AB3"/>
    <w:rsid w:val="00C137CF"/>
    <w:rsid w:val="00C14CD1"/>
    <w:rsid w:val="00C1609C"/>
    <w:rsid w:val="00C21493"/>
    <w:rsid w:val="00C24B25"/>
    <w:rsid w:val="00C25F82"/>
    <w:rsid w:val="00C31865"/>
    <w:rsid w:val="00C377AE"/>
    <w:rsid w:val="00C43E87"/>
    <w:rsid w:val="00C44803"/>
    <w:rsid w:val="00C460B8"/>
    <w:rsid w:val="00C63DBA"/>
    <w:rsid w:val="00C6525F"/>
    <w:rsid w:val="00C655DD"/>
    <w:rsid w:val="00C73487"/>
    <w:rsid w:val="00C766AA"/>
    <w:rsid w:val="00C83686"/>
    <w:rsid w:val="00C87602"/>
    <w:rsid w:val="00C87869"/>
    <w:rsid w:val="00C96C39"/>
    <w:rsid w:val="00CA7A74"/>
    <w:rsid w:val="00CA7D08"/>
    <w:rsid w:val="00CB03E8"/>
    <w:rsid w:val="00CC3AE9"/>
    <w:rsid w:val="00CD37D3"/>
    <w:rsid w:val="00CE0BAA"/>
    <w:rsid w:val="00CF5D09"/>
    <w:rsid w:val="00CF5EB1"/>
    <w:rsid w:val="00D140B9"/>
    <w:rsid w:val="00D15EB6"/>
    <w:rsid w:val="00D174D1"/>
    <w:rsid w:val="00D17A2D"/>
    <w:rsid w:val="00D2397A"/>
    <w:rsid w:val="00D315FF"/>
    <w:rsid w:val="00D31EE0"/>
    <w:rsid w:val="00D356C5"/>
    <w:rsid w:val="00D36FF8"/>
    <w:rsid w:val="00D63BA8"/>
    <w:rsid w:val="00D643A0"/>
    <w:rsid w:val="00D76880"/>
    <w:rsid w:val="00D8138D"/>
    <w:rsid w:val="00DA6F36"/>
    <w:rsid w:val="00DB313B"/>
    <w:rsid w:val="00DB6710"/>
    <w:rsid w:val="00DC1258"/>
    <w:rsid w:val="00DC55A9"/>
    <w:rsid w:val="00DD5775"/>
    <w:rsid w:val="00DE5CA7"/>
    <w:rsid w:val="00DF40F6"/>
    <w:rsid w:val="00E13624"/>
    <w:rsid w:val="00E151BA"/>
    <w:rsid w:val="00E25699"/>
    <w:rsid w:val="00E27F56"/>
    <w:rsid w:val="00E304C9"/>
    <w:rsid w:val="00E305DD"/>
    <w:rsid w:val="00E35DC3"/>
    <w:rsid w:val="00E449B2"/>
    <w:rsid w:val="00E44D76"/>
    <w:rsid w:val="00E72C78"/>
    <w:rsid w:val="00E75D40"/>
    <w:rsid w:val="00E84851"/>
    <w:rsid w:val="00E92AC0"/>
    <w:rsid w:val="00EA14D4"/>
    <w:rsid w:val="00EC34EA"/>
    <w:rsid w:val="00EE070D"/>
    <w:rsid w:val="00F060C3"/>
    <w:rsid w:val="00F11CFA"/>
    <w:rsid w:val="00F13AD1"/>
    <w:rsid w:val="00F25ADF"/>
    <w:rsid w:val="00F27A74"/>
    <w:rsid w:val="00F4421F"/>
    <w:rsid w:val="00F474D2"/>
    <w:rsid w:val="00F6342E"/>
    <w:rsid w:val="00F66A25"/>
    <w:rsid w:val="00F8164F"/>
    <w:rsid w:val="00F8687D"/>
    <w:rsid w:val="00F934A0"/>
    <w:rsid w:val="00F9352A"/>
    <w:rsid w:val="00F93D0A"/>
    <w:rsid w:val="00F965E4"/>
    <w:rsid w:val="00FA34F3"/>
    <w:rsid w:val="00FA681A"/>
    <w:rsid w:val="00FD6078"/>
    <w:rsid w:val="00FD62BF"/>
    <w:rsid w:val="00FF3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558ED7D1"/>
  <w15:docId w15:val="{701D61ED-084D-4179-A293-8B972EAE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53D"/>
    <w:pPr>
      <w:tabs>
        <w:tab w:val="center" w:pos="4513"/>
        <w:tab w:val="right" w:pos="9026"/>
      </w:tabs>
    </w:pPr>
  </w:style>
  <w:style w:type="character" w:customStyle="1" w:styleId="HeaderChar">
    <w:name w:val="Header Char"/>
    <w:link w:val="Header"/>
    <w:uiPriority w:val="99"/>
    <w:locked/>
    <w:rsid w:val="0066153D"/>
    <w:rPr>
      <w:rFonts w:cs="Times New Roman"/>
      <w:sz w:val="24"/>
      <w:szCs w:val="24"/>
    </w:rPr>
  </w:style>
  <w:style w:type="paragraph" w:styleId="Footer">
    <w:name w:val="footer"/>
    <w:basedOn w:val="Normal"/>
    <w:link w:val="FooterChar"/>
    <w:uiPriority w:val="99"/>
    <w:rsid w:val="0066153D"/>
    <w:pPr>
      <w:tabs>
        <w:tab w:val="center" w:pos="4513"/>
        <w:tab w:val="right" w:pos="9026"/>
      </w:tabs>
    </w:pPr>
  </w:style>
  <w:style w:type="character" w:customStyle="1" w:styleId="FooterChar">
    <w:name w:val="Footer Char"/>
    <w:link w:val="Footer"/>
    <w:uiPriority w:val="99"/>
    <w:locked/>
    <w:rsid w:val="0066153D"/>
    <w:rPr>
      <w:rFonts w:cs="Times New Roman"/>
      <w:sz w:val="24"/>
      <w:szCs w:val="24"/>
    </w:rPr>
  </w:style>
  <w:style w:type="paragraph" w:customStyle="1" w:styleId="Default">
    <w:name w:val="Default"/>
    <w:uiPriority w:val="99"/>
    <w:rsid w:val="0066153D"/>
    <w:pPr>
      <w:widowControl w:val="0"/>
      <w:autoSpaceDE w:val="0"/>
      <w:autoSpaceDN w:val="0"/>
      <w:adjustRightInd w:val="0"/>
    </w:pPr>
    <w:rPr>
      <w:rFonts w:ascii="Tondo" w:hAnsi="Tondo" w:cs="Tondo"/>
      <w:color w:val="000000"/>
      <w:sz w:val="24"/>
      <w:szCs w:val="24"/>
      <w:lang w:val="en-US" w:eastAsia="en-US"/>
    </w:rPr>
  </w:style>
  <w:style w:type="table" w:styleId="TableGrid">
    <w:name w:val="Table Grid"/>
    <w:basedOn w:val="TableNormal"/>
    <w:uiPriority w:val="99"/>
    <w:locked/>
    <w:rsid w:val="00087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D4D40"/>
    <w:rPr>
      <w:rFonts w:cs="Times New Roman"/>
      <w:color w:val="0000FF"/>
      <w:u w:val="single"/>
    </w:rPr>
  </w:style>
  <w:style w:type="paragraph" w:styleId="BalloonText">
    <w:name w:val="Balloon Text"/>
    <w:basedOn w:val="Normal"/>
    <w:link w:val="BalloonTextChar"/>
    <w:uiPriority w:val="99"/>
    <w:semiHidden/>
    <w:unhideWhenUsed/>
    <w:rsid w:val="00683B27"/>
    <w:rPr>
      <w:rFonts w:ascii="Tahoma" w:hAnsi="Tahoma" w:cs="Tahoma"/>
      <w:sz w:val="16"/>
      <w:szCs w:val="16"/>
    </w:rPr>
  </w:style>
  <w:style w:type="character" w:customStyle="1" w:styleId="BalloonTextChar">
    <w:name w:val="Balloon Text Char"/>
    <w:basedOn w:val="DefaultParagraphFont"/>
    <w:link w:val="BalloonText"/>
    <w:uiPriority w:val="99"/>
    <w:semiHidden/>
    <w:rsid w:val="00683B27"/>
    <w:rPr>
      <w:rFonts w:ascii="Tahoma" w:hAnsi="Tahoma" w:cs="Tahoma"/>
      <w:sz w:val="16"/>
      <w:szCs w:val="16"/>
      <w:lang w:val="en-US" w:eastAsia="en-US"/>
    </w:rPr>
  </w:style>
  <w:style w:type="paragraph" w:styleId="ListParagraph">
    <w:name w:val="List Paragraph"/>
    <w:basedOn w:val="Normal"/>
    <w:uiPriority w:val="34"/>
    <w:qFormat/>
    <w:rsid w:val="006708D0"/>
    <w:pPr>
      <w:ind w:left="720"/>
      <w:contextualSpacing/>
    </w:pPr>
  </w:style>
  <w:style w:type="paragraph" w:styleId="NormalWeb">
    <w:name w:val="Normal (Web)"/>
    <w:basedOn w:val="Normal"/>
    <w:uiPriority w:val="99"/>
    <w:unhideWhenUsed/>
    <w:rsid w:val="001D1432"/>
    <w:pPr>
      <w:spacing w:before="100" w:beforeAutospacing="1" w:after="100" w:afterAutospacing="1"/>
    </w:pPr>
    <w:rPr>
      <w:lang w:val="en-GB" w:eastAsia="en-GB"/>
    </w:rPr>
  </w:style>
  <w:style w:type="paragraph" w:customStyle="1" w:styleId="Body">
    <w:name w:val="Body"/>
    <w:rsid w:val="00E449B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956">
      <w:bodyDiv w:val="1"/>
      <w:marLeft w:val="0"/>
      <w:marRight w:val="0"/>
      <w:marTop w:val="0"/>
      <w:marBottom w:val="0"/>
      <w:divBdr>
        <w:top w:val="none" w:sz="0" w:space="0" w:color="auto"/>
        <w:left w:val="none" w:sz="0" w:space="0" w:color="auto"/>
        <w:bottom w:val="none" w:sz="0" w:space="0" w:color="auto"/>
        <w:right w:val="none" w:sz="0" w:space="0" w:color="auto"/>
      </w:divBdr>
    </w:div>
    <w:div w:id="18911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E4D1-D527-4FDF-A51F-12B121AE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4388</Words>
  <Characters>25012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Decision (Permission to Appeal) [AP]</vt:lpstr>
    </vt:vector>
  </TitlesOfParts>
  <Company>Microsoft Corporation</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(Permission to Appeal) [AP]</dc:title>
  <dc:subject>Upper Tribunal for Scotland</dc:subject>
  <dc:creator>Timothy Stewart</dc:creator>
  <cp:keywords>Upper Tribunal for Scotland</cp:keywords>
  <cp:lastModifiedBy>Kane, Janet</cp:lastModifiedBy>
  <cp:revision>2</cp:revision>
  <cp:lastPrinted>2020-11-02T14:48:00Z</cp:lastPrinted>
  <dcterms:created xsi:type="dcterms:W3CDTF">2020-11-27T13:39:00Z</dcterms:created>
  <dcterms:modified xsi:type="dcterms:W3CDTF">2020-11-27T13:39:00Z</dcterms:modified>
</cp:coreProperties>
</file>